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FB" w:rsidRDefault="002E47FB">
      <w:pPr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3"/>
        <w:tblpPr w:leftFromText="180" w:rightFromText="180" w:vertAnchor="page" w:horzAnchor="page" w:tblpX="1897" w:tblpY="2208"/>
        <w:tblOverlap w:val="never"/>
        <w:tblW w:w="8860" w:type="dxa"/>
        <w:tblLayout w:type="fixed"/>
        <w:tblLook w:val="04A0" w:firstRow="1" w:lastRow="0" w:firstColumn="1" w:lastColumn="0" w:noHBand="0" w:noVBand="1"/>
      </w:tblPr>
      <w:tblGrid>
        <w:gridCol w:w="2952"/>
        <w:gridCol w:w="2954"/>
        <w:gridCol w:w="2954"/>
      </w:tblGrid>
      <w:tr w:rsidR="002E47FB">
        <w:trPr>
          <w:trHeight w:val="1018"/>
        </w:trPr>
        <w:tc>
          <w:tcPr>
            <w:tcW w:w="2952" w:type="dxa"/>
            <w:vAlign w:val="center"/>
          </w:tcPr>
          <w:p w:rsidR="002E47FB" w:rsidRDefault="00F8260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本科在校生人数（人）</w:t>
            </w:r>
          </w:p>
        </w:tc>
        <w:tc>
          <w:tcPr>
            <w:tcW w:w="2954" w:type="dxa"/>
            <w:vAlign w:val="center"/>
          </w:tcPr>
          <w:p w:rsidR="002E47FB" w:rsidRDefault="00F8260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全日制在校生人数</w:t>
            </w:r>
          </w:p>
        </w:tc>
        <w:tc>
          <w:tcPr>
            <w:tcW w:w="2954" w:type="dxa"/>
            <w:vAlign w:val="center"/>
          </w:tcPr>
          <w:p w:rsidR="002E47FB" w:rsidRDefault="00F8260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本科生/在校生</w:t>
            </w:r>
          </w:p>
        </w:tc>
      </w:tr>
      <w:tr w:rsidR="002E47FB">
        <w:trPr>
          <w:trHeight w:val="854"/>
        </w:trPr>
        <w:tc>
          <w:tcPr>
            <w:tcW w:w="2952" w:type="dxa"/>
            <w:vAlign w:val="center"/>
          </w:tcPr>
          <w:p w:rsidR="002E47FB" w:rsidRDefault="00F826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18763</w:t>
            </w:r>
          </w:p>
        </w:tc>
        <w:tc>
          <w:tcPr>
            <w:tcW w:w="2954" w:type="dxa"/>
            <w:vAlign w:val="center"/>
          </w:tcPr>
          <w:p w:rsidR="002E47FB" w:rsidRDefault="00F826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25828</w:t>
            </w:r>
          </w:p>
        </w:tc>
        <w:tc>
          <w:tcPr>
            <w:tcW w:w="2954" w:type="dxa"/>
            <w:vAlign w:val="center"/>
          </w:tcPr>
          <w:p w:rsidR="002E47FB" w:rsidRDefault="00F82601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72.65%</w:t>
            </w:r>
          </w:p>
        </w:tc>
      </w:tr>
    </w:tbl>
    <w:p w:rsidR="002E47FB" w:rsidRDefault="002E47FB">
      <w:pPr>
        <w:rPr>
          <w:rFonts w:ascii="仿宋_GB2312" w:eastAsia="仿宋_GB2312" w:hAnsi="仿宋_GB2312" w:cs="仿宋_GB2312"/>
          <w:sz w:val="32"/>
          <w:szCs w:val="32"/>
        </w:rPr>
      </w:pPr>
    </w:p>
    <w:p w:rsidR="007F07EC" w:rsidRDefault="007F07EC">
      <w:pPr>
        <w:rPr>
          <w:rFonts w:ascii="仿宋_GB2312" w:eastAsia="仿宋_GB2312" w:hAnsi="仿宋_GB2312" w:cs="仿宋_GB2312"/>
          <w:sz w:val="32"/>
          <w:szCs w:val="32"/>
        </w:rPr>
      </w:pPr>
    </w:p>
    <w:p w:rsidR="007F07EC" w:rsidRDefault="007F07EC">
      <w:pPr>
        <w:rPr>
          <w:rFonts w:ascii="仿宋_GB2312" w:eastAsia="仿宋_GB2312" w:hAnsi="仿宋_GB2312" w:cs="仿宋_GB2312"/>
          <w:sz w:val="32"/>
          <w:szCs w:val="32"/>
        </w:rPr>
      </w:pPr>
    </w:p>
    <w:p w:rsidR="007F07EC" w:rsidRDefault="007F07EC">
      <w:pPr>
        <w:rPr>
          <w:rFonts w:ascii="仿宋_GB2312" w:eastAsia="仿宋_GB2312" w:hAnsi="仿宋_GB2312" w:cs="仿宋_GB2312"/>
          <w:sz w:val="32"/>
          <w:szCs w:val="32"/>
        </w:rPr>
      </w:pPr>
    </w:p>
    <w:p w:rsidR="007F07EC" w:rsidRPr="00E20880" w:rsidRDefault="007F07EC" w:rsidP="007F07EC">
      <w:pPr>
        <w:jc w:val="center"/>
        <w:rPr>
          <w:b/>
          <w:sz w:val="28"/>
          <w:szCs w:val="28"/>
        </w:rPr>
      </w:pPr>
      <w:r w:rsidRPr="00E20880">
        <w:rPr>
          <w:rFonts w:ascii="Arial" w:hAnsi="Arial" w:cs="Arial"/>
          <w:color w:val="000000"/>
          <w:sz w:val="28"/>
          <w:szCs w:val="28"/>
        </w:rPr>
        <w:t>2017-2018</w:t>
      </w:r>
      <w:r w:rsidRPr="00E20880">
        <w:rPr>
          <w:rFonts w:ascii="Arial" w:hAnsi="Arial" w:cs="Arial"/>
          <w:color w:val="000000"/>
          <w:sz w:val="28"/>
          <w:szCs w:val="28"/>
        </w:rPr>
        <w:t>学年，全校开设课程总门数为</w:t>
      </w:r>
      <w:r w:rsidRPr="00E20880">
        <w:rPr>
          <w:rFonts w:ascii="Arial" w:hAnsi="Arial" w:cs="Arial"/>
          <w:color w:val="000000"/>
          <w:sz w:val="28"/>
          <w:szCs w:val="28"/>
        </w:rPr>
        <w:t>2137</w:t>
      </w:r>
      <w:r w:rsidRPr="00E20880">
        <w:rPr>
          <w:rFonts w:ascii="Arial" w:hAnsi="Arial" w:cs="Arial"/>
          <w:color w:val="000000"/>
          <w:sz w:val="28"/>
          <w:szCs w:val="28"/>
        </w:rPr>
        <w:t>门，主讲本科课程的教授占教授总数的比例为</w:t>
      </w:r>
      <w:r w:rsidRPr="00E20880">
        <w:rPr>
          <w:rFonts w:ascii="Arial" w:hAnsi="Arial" w:cs="Arial"/>
          <w:color w:val="000000"/>
          <w:sz w:val="28"/>
          <w:szCs w:val="28"/>
        </w:rPr>
        <w:t>70.30%</w:t>
      </w:r>
      <w:r w:rsidRPr="00E20880">
        <w:rPr>
          <w:rFonts w:ascii="Arial" w:hAnsi="Arial" w:cs="Arial"/>
          <w:color w:val="000000"/>
          <w:sz w:val="28"/>
          <w:szCs w:val="28"/>
        </w:rPr>
        <w:t>，教授讲授本科课程占课程总门次数的比例为</w:t>
      </w:r>
      <w:r w:rsidRPr="00E20880">
        <w:rPr>
          <w:rFonts w:ascii="Arial" w:hAnsi="Arial" w:cs="Arial"/>
          <w:color w:val="000000"/>
          <w:sz w:val="28"/>
          <w:szCs w:val="28"/>
        </w:rPr>
        <w:t>6.50%</w:t>
      </w:r>
      <w:r w:rsidRPr="00E20880">
        <w:rPr>
          <w:rFonts w:ascii="Arial" w:hAnsi="Arial" w:cs="Arial"/>
          <w:color w:val="000000"/>
          <w:sz w:val="28"/>
          <w:szCs w:val="28"/>
        </w:rPr>
        <w:t>。</w:t>
      </w:r>
      <w:bookmarkStart w:id="0" w:name="_GoBack"/>
      <w:bookmarkEnd w:id="0"/>
    </w:p>
    <w:p w:rsidR="007F07EC" w:rsidRPr="00E20880" w:rsidRDefault="007F07EC">
      <w:pPr>
        <w:rPr>
          <w:rFonts w:ascii="仿宋_GB2312" w:eastAsia="仿宋_GB2312" w:hAnsi="仿宋_GB2312" w:cs="仿宋_GB2312"/>
          <w:sz w:val="28"/>
          <w:szCs w:val="28"/>
        </w:rPr>
      </w:pPr>
    </w:p>
    <w:sectPr w:rsidR="007F07EC" w:rsidRPr="00E20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9B" w:rsidRDefault="0035399B" w:rsidP="007F07EC">
      <w:r>
        <w:separator/>
      </w:r>
    </w:p>
  </w:endnote>
  <w:endnote w:type="continuationSeparator" w:id="0">
    <w:p w:rsidR="0035399B" w:rsidRDefault="0035399B" w:rsidP="007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9B" w:rsidRDefault="0035399B" w:rsidP="007F07EC">
      <w:r>
        <w:separator/>
      </w:r>
    </w:p>
  </w:footnote>
  <w:footnote w:type="continuationSeparator" w:id="0">
    <w:p w:rsidR="0035399B" w:rsidRDefault="0035399B" w:rsidP="007F0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FB"/>
    <w:rsid w:val="002E47FB"/>
    <w:rsid w:val="0035399B"/>
    <w:rsid w:val="005B115B"/>
    <w:rsid w:val="007F07EC"/>
    <w:rsid w:val="0099649A"/>
    <w:rsid w:val="00E20880"/>
    <w:rsid w:val="00F82601"/>
    <w:rsid w:val="3AF21DB8"/>
    <w:rsid w:val="3B094270"/>
    <w:rsid w:val="3DC606E9"/>
    <w:rsid w:val="6C59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F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7EC"/>
    <w:rPr>
      <w:kern w:val="2"/>
      <w:sz w:val="18"/>
      <w:szCs w:val="18"/>
    </w:rPr>
  </w:style>
  <w:style w:type="paragraph" w:styleId="a5">
    <w:name w:val="footer"/>
    <w:basedOn w:val="a"/>
    <w:link w:val="Char0"/>
    <w:rsid w:val="007F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7E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F0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F07EC"/>
    <w:rPr>
      <w:kern w:val="2"/>
      <w:sz w:val="18"/>
      <w:szCs w:val="18"/>
    </w:rPr>
  </w:style>
  <w:style w:type="paragraph" w:styleId="a5">
    <w:name w:val="footer"/>
    <w:basedOn w:val="a"/>
    <w:link w:val="Char0"/>
    <w:rsid w:val="007F07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F07E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2014-10-29T12:08:00Z</dcterms:created>
  <dcterms:modified xsi:type="dcterms:W3CDTF">2019-01-11T03:34:00Z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