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bCs/>
          <w:sz w:val="44"/>
          <w:szCs w:val="44"/>
        </w:rPr>
      </w:pPr>
      <w:r>
        <w:rPr>
          <w:rFonts w:hint="eastAsia" w:ascii="宋体" w:hAnsi="宋体"/>
          <w:b/>
          <w:sz w:val="44"/>
          <w:szCs w:val="44"/>
        </w:rPr>
        <w:pict>
          <v:shape id="_x0000_s2051" o:spid="_x0000_s2051" o:spt="136" type="#_x0000_t136" style="position:absolute;left:0pt;margin-left:-11.25pt;margin-top:12.05pt;height:84.7pt;width:438pt;z-index:251664384;mso-width-relative:page;mso-height-relative:page;" fillcolor="#C00000" filled="t" stroked="f" coordsize="21600,21600">
            <v:path/>
            <v:fill on="t" focussize="0,0"/>
            <v:stroke on="f"/>
            <v:imagedata o:title=""/>
            <o:lock v:ext="edit"/>
            <v:textpath on="t" fitshape="t" fitpath="t" trim="t" xscale="f" string="新 乡 学 院 文 件" style="font-family:华文中宋;font-size:36pt;font-weight:bold;v-text-align:center;"/>
          </v:shape>
        </w:pict>
      </w:r>
    </w:p>
    <w:p>
      <w:pPr>
        <w:spacing w:line="560" w:lineRule="exact"/>
        <w:jc w:val="center"/>
        <w:rPr>
          <w:rFonts w:ascii="方正小标宋简体" w:hAnsi="方正小标宋简体" w:eastAsia="方正小标宋简体" w:cs="方正小标宋简体"/>
          <w:bCs/>
          <w:sz w:val="44"/>
          <w:szCs w:val="44"/>
        </w:rPr>
      </w:pPr>
    </w:p>
    <w:p>
      <w:pPr>
        <w:spacing w:line="560" w:lineRule="exact"/>
        <w:jc w:val="center"/>
        <w:rPr>
          <w:rFonts w:ascii="方正小标宋简体" w:hAnsi="方正小标宋简体" w:eastAsia="方正小标宋简体" w:cs="方正小标宋简体"/>
          <w:bCs/>
          <w:sz w:val="44"/>
          <w:szCs w:val="44"/>
        </w:rPr>
      </w:pPr>
    </w:p>
    <w:p>
      <w:pPr>
        <w:spacing w:line="560" w:lineRule="exact"/>
        <w:jc w:val="center"/>
        <w:rPr>
          <w:rFonts w:ascii="方正小标宋简体" w:hAnsi="方正小标宋简体" w:eastAsia="方正小标宋简体" w:cs="方正小标宋简体"/>
          <w:bCs/>
          <w:sz w:val="44"/>
          <w:szCs w:val="44"/>
        </w:rPr>
      </w:pPr>
    </w:p>
    <w:p>
      <w:pPr>
        <w:spacing w:line="560" w:lineRule="exact"/>
        <w:jc w:val="center"/>
        <w:rPr>
          <w:rFonts w:ascii="方正小标宋简体" w:hAnsi="方正小标宋简体" w:eastAsia="方正小标宋简体" w:cs="方正小标宋简体"/>
          <w:bCs/>
          <w:sz w:val="44"/>
          <w:szCs w:val="44"/>
        </w:rPr>
      </w:pPr>
    </w:p>
    <w:p>
      <w:pPr>
        <w:spacing w:line="560" w:lineRule="exact"/>
        <w:jc w:val="center"/>
        <w:rPr>
          <w:rFonts w:ascii="方正小标宋简体" w:hAnsi="方正小标宋简体" w:eastAsia="方正小标宋简体" w:cs="方正小标宋简体"/>
          <w:bCs/>
          <w:sz w:val="44"/>
          <w:szCs w:val="44"/>
        </w:rPr>
      </w:pPr>
    </w:p>
    <w:p>
      <w:pPr>
        <w:spacing w:line="560" w:lineRule="exact"/>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院学字〔2017〕</w:t>
      </w:r>
      <w:r>
        <w:rPr>
          <w:rFonts w:hint="eastAsia" w:ascii="仿宋_GB2312" w:hAnsi="仿宋_GB2312" w:eastAsia="仿宋_GB2312" w:cs="仿宋_GB2312"/>
          <w:bCs/>
          <w:color w:val="000000"/>
          <w:sz w:val="32"/>
          <w:szCs w:val="32"/>
          <w:lang w:val="en-US" w:eastAsia="zh-CN"/>
        </w:rPr>
        <w:t>23</w:t>
      </w:r>
      <w:bookmarkStart w:id="0" w:name="_GoBack"/>
      <w:bookmarkEnd w:id="0"/>
      <w:r>
        <w:rPr>
          <w:rFonts w:hint="eastAsia" w:ascii="仿宋_GB2312" w:hAnsi="仿宋_GB2312" w:eastAsia="仿宋_GB2312" w:cs="仿宋_GB2312"/>
          <w:bCs/>
          <w:color w:val="000000"/>
          <w:sz w:val="32"/>
          <w:szCs w:val="32"/>
        </w:rPr>
        <w:t>号</w:t>
      </w:r>
    </w:p>
    <w:p>
      <w:pPr>
        <w:spacing w:line="560" w:lineRule="exact"/>
        <w:jc w:val="center"/>
        <w:rPr>
          <w:rFonts w:ascii="仿宋_GB2312" w:hAnsi="仿宋_GB2312" w:eastAsia="仿宋_GB2312" w:cs="仿宋_GB2312"/>
          <w:bCs/>
          <w:color w:val="000000"/>
          <w:sz w:val="32"/>
          <w:szCs w:val="32"/>
        </w:rPr>
      </w:pPr>
      <w:r>
        <w:rPr>
          <w:rFonts w:hint="eastAsia" w:ascii="宋体" w:hAnsi="宋体"/>
          <w:b/>
          <w:sz w:val="44"/>
          <w:szCs w:val="44"/>
        </w:rPr>
        <mc:AlternateContent>
          <mc:Choice Requires="wps">
            <w:drawing>
              <wp:anchor distT="0" distB="0" distL="114300" distR="114300" simplePos="0" relativeHeight="251661312" behindDoc="0" locked="0" layoutInCell="1" allowOverlap="1">
                <wp:simplePos x="0" y="0"/>
                <wp:positionH relativeFrom="column">
                  <wp:posOffset>-612140</wp:posOffset>
                </wp:positionH>
                <wp:positionV relativeFrom="paragraph">
                  <wp:posOffset>203200</wp:posOffset>
                </wp:positionV>
                <wp:extent cx="6638925" cy="0"/>
                <wp:effectExtent l="0" t="0" r="0" b="0"/>
                <wp:wrapNone/>
                <wp:docPr id="1" name="自选图形 2"/>
                <wp:cNvGraphicFramePr/>
                <a:graphic xmlns:a="http://schemas.openxmlformats.org/drawingml/2006/main">
                  <a:graphicData uri="http://schemas.microsoft.com/office/word/2010/wordprocessingShape">
                    <wps:wsp>
                      <wps:cNvCnPr/>
                      <wps:spPr>
                        <a:xfrm>
                          <a:off x="0" y="0"/>
                          <a:ext cx="6638925" cy="0"/>
                        </a:xfrm>
                        <a:prstGeom prst="straightConnector1">
                          <a:avLst/>
                        </a:prstGeom>
                        <a:ln w="19050" cap="flat" cmpd="sng">
                          <a:solidFill>
                            <a:srgbClr val="C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48.2pt;margin-top:16pt;height:0pt;width:522.75pt;z-index:251661312;mso-width-relative:page;mso-height-relative:page;" filled="f" stroked="t" coordsize="21600,21600" o:gfxdata="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564EXtgAAAAJAQAADwAA&#10;AAAAAAABACAAAAAiAAAAZHJzL2Rvd25yZXYueG1sUEsBAhQAFAAAAAgAh07iQA4qgJXdAQAAlgMA&#10;AA4AAAAAAAAAAQAgAAAAJwEAAGRycy9lMm9Eb2MueG1sUEsFBgAAAAAGAAYAWQEAAHYFAAAAAA==&#10;">
                <v:fill on="f" focussize="0,0"/>
                <v:stroke weight="1.5pt" color="#C00000" joinstyle="round"/>
                <v:imagedata o:title=""/>
                <o:lock v:ext="edit" aspectratio="f"/>
              </v:shape>
            </w:pict>
          </mc:Fallback>
        </mc:AlternateContent>
      </w:r>
    </w:p>
    <w:p>
      <w:pP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新乡学院学生违纪处分管理规定（修订）</w:t>
      </w:r>
    </w:p>
    <w:p>
      <w:pPr>
        <w:jc w:val="center"/>
        <w:rPr>
          <w:rFonts w:ascii="黑体" w:hAnsi="黑体" w:eastAsia="黑体" w:cs="黑体"/>
          <w:bCs/>
          <w:sz w:val="32"/>
          <w:szCs w:val="32"/>
        </w:rPr>
      </w:pPr>
      <w:r>
        <w:rPr>
          <w:rFonts w:hint="eastAsia" w:ascii="黑体" w:hAnsi="黑体" w:eastAsia="黑体" w:cs="黑体"/>
          <w:bCs/>
          <w:sz w:val="32"/>
          <w:szCs w:val="32"/>
        </w:rPr>
        <w:t>第一章   总</w:t>
      </w:r>
      <w:r>
        <w:rPr>
          <w:rFonts w:hint="eastAsia" w:ascii="黑体" w:hAnsi="黑体" w:eastAsia="黑体" w:cs="黑体"/>
          <w:bCs/>
          <w:sz w:val="32"/>
          <w:szCs w:val="32"/>
          <w:lang w:val="en-US" w:eastAsia="zh-CN"/>
        </w:rPr>
        <w:t xml:space="preserve">  </w:t>
      </w:r>
      <w:r>
        <w:rPr>
          <w:rFonts w:hint="eastAsia" w:ascii="黑体" w:hAnsi="黑体" w:eastAsia="黑体" w:cs="黑体"/>
          <w:bCs/>
          <w:sz w:val="32"/>
          <w:szCs w:val="32"/>
        </w:rPr>
        <w:t>则</w:t>
      </w:r>
    </w:p>
    <w:p>
      <w:pPr>
        <w:spacing w:line="560" w:lineRule="exact"/>
        <w:rPr>
          <w:rFonts w:ascii="仿宋_GB2312" w:eastAsia="仿宋_GB2312"/>
          <w:color w:val="auto"/>
          <w:sz w:val="32"/>
          <w:szCs w:val="32"/>
          <w:u w:val="none" w:color="auto"/>
        </w:rPr>
      </w:pPr>
      <w:r>
        <w:rPr>
          <w:rFonts w:hint="eastAsia" w:ascii="仿宋_GB2312" w:eastAsia="仿宋_GB2312"/>
          <w:sz w:val="32"/>
          <w:szCs w:val="32"/>
        </w:rPr>
        <w:t xml:space="preserve">    </w:t>
      </w:r>
      <w:r>
        <w:rPr>
          <w:rFonts w:hint="eastAsia" w:ascii="仿宋_GB2312" w:eastAsia="仿宋_GB2312"/>
          <w:b/>
          <w:color w:val="auto"/>
          <w:sz w:val="32"/>
          <w:szCs w:val="32"/>
          <w:u w:val="none" w:color="auto"/>
        </w:rPr>
        <w:t>第一条</w:t>
      </w:r>
      <w:r>
        <w:rPr>
          <w:rFonts w:hint="eastAsia" w:ascii="仿宋_GB2312" w:eastAsia="仿宋_GB2312"/>
          <w:color w:val="auto"/>
          <w:sz w:val="32"/>
          <w:szCs w:val="32"/>
          <w:u w:val="none" w:color="auto"/>
        </w:rPr>
        <w:t xml:space="preserve">  为规范我校学生管理行为，维护我校正常的教育教学秩序和生活秩序，保障学生合法权益，培养德、智、体、美等方面全面发展的社会主义建设者和接班人，根据《普通高等学校学生管理规定》、《新乡学院学生管理规定》，制定本管理规定。</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w:t>
      </w:r>
      <w:r>
        <w:rPr>
          <w:rFonts w:hint="eastAsia" w:ascii="仿宋_GB2312" w:eastAsia="仿宋_GB2312"/>
          <w:b/>
          <w:color w:val="auto"/>
          <w:sz w:val="32"/>
          <w:szCs w:val="32"/>
          <w:u w:val="none" w:color="auto"/>
        </w:rPr>
        <w:t xml:space="preserve">  第二条</w:t>
      </w:r>
      <w:r>
        <w:rPr>
          <w:rFonts w:hint="eastAsia" w:ascii="仿宋_GB2312" w:eastAsia="仿宋_GB2312"/>
          <w:color w:val="auto"/>
          <w:sz w:val="32"/>
          <w:szCs w:val="32"/>
          <w:u w:val="none" w:color="auto"/>
        </w:rPr>
        <w:t xml:space="preserve">  本管理规定适用于具有我校正式学籍的全日制学生。 </w:t>
      </w:r>
    </w:p>
    <w:p>
      <w:pPr>
        <w:spacing w:line="560" w:lineRule="exact"/>
        <w:ind w:firstLine="641"/>
        <w:rPr>
          <w:rFonts w:ascii="仿宋_GB2312" w:eastAsia="仿宋_GB2312"/>
          <w:color w:val="auto"/>
          <w:sz w:val="32"/>
          <w:szCs w:val="32"/>
          <w:u w:val="none" w:color="auto"/>
        </w:rPr>
      </w:pPr>
      <w:r>
        <w:rPr>
          <w:rFonts w:hint="eastAsia" w:ascii="仿宋_GB2312" w:eastAsia="仿宋_GB2312"/>
          <w:b/>
          <w:color w:val="auto"/>
          <w:sz w:val="32"/>
          <w:szCs w:val="32"/>
          <w:u w:val="none" w:color="auto"/>
        </w:rPr>
        <w:t>第三条</w:t>
      </w:r>
      <w:r>
        <w:rPr>
          <w:rFonts w:hint="eastAsia" w:ascii="仿宋_GB2312" w:eastAsia="仿宋_GB2312"/>
          <w:color w:val="auto"/>
          <w:sz w:val="32"/>
          <w:szCs w:val="32"/>
          <w:u w:val="none" w:color="auto"/>
        </w:rPr>
        <w:t xml:space="preserve">  学生在校内有违纪行为的，依照本管理规定给予纪律处分。</w:t>
      </w:r>
    </w:p>
    <w:p>
      <w:pPr>
        <w:spacing w:line="560" w:lineRule="exact"/>
        <w:ind w:firstLine="641"/>
        <w:rPr>
          <w:rFonts w:ascii="仿宋_GB2312" w:eastAsia="仿宋_GB2312"/>
          <w:color w:val="auto"/>
          <w:sz w:val="32"/>
          <w:szCs w:val="32"/>
          <w:u w:val="none" w:color="auto"/>
        </w:rPr>
      </w:pPr>
      <w:r>
        <w:rPr>
          <w:rFonts w:hint="eastAsia" w:ascii="仿宋_GB2312" w:eastAsia="仿宋_GB2312"/>
          <w:color w:val="auto"/>
          <w:sz w:val="32"/>
          <w:szCs w:val="32"/>
          <w:u w:val="none" w:color="auto"/>
        </w:rPr>
        <w:t>学生在校外参加教学实习、考察、社会实践、挂职锻炼等社会活动中有违纪行为的，参照本管理规定执行。</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w:t>
      </w:r>
      <w:r>
        <w:rPr>
          <w:rFonts w:hint="eastAsia" w:ascii="仿宋_GB2312" w:eastAsia="仿宋_GB2312"/>
          <w:b/>
          <w:color w:val="auto"/>
          <w:sz w:val="32"/>
          <w:szCs w:val="32"/>
          <w:u w:val="none" w:color="auto"/>
        </w:rPr>
        <w:t xml:space="preserve">   第四条</w:t>
      </w:r>
      <w:r>
        <w:rPr>
          <w:rFonts w:hint="eastAsia" w:ascii="仿宋_GB2312" w:eastAsia="仿宋_GB2312"/>
          <w:color w:val="auto"/>
          <w:sz w:val="32"/>
          <w:szCs w:val="32"/>
          <w:u w:val="none" w:color="auto"/>
        </w:rPr>
        <w:t xml:space="preserve"> 对学生的违纪处分种类分为：</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（一）警告；</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（二）严重警告；</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（三）记过；</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（四）留校察看；</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（五）开除学籍。</w:t>
      </w:r>
    </w:p>
    <w:p>
      <w:pPr>
        <w:spacing w:line="560" w:lineRule="exact"/>
        <w:ind w:firstLine="555"/>
        <w:rPr>
          <w:rFonts w:ascii="仿宋_GB2312" w:eastAsia="仿宋_GB2312"/>
          <w:color w:val="auto"/>
          <w:sz w:val="32"/>
          <w:szCs w:val="32"/>
          <w:u w:val="none" w:color="auto"/>
        </w:rPr>
      </w:pPr>
      <w:r>
        <w:rPr>
          <w:rFonts w:hint="eastAsia" w:ascii="仿宋_GB2312" w:eastAsia="仿宋_GB2312"/>
          <w:b/>
          <w:color w:val="auto"/>
          <w:sz w:val="32"/>
          <w:szCs w:val="32"/>
          <w:u w:val="none" w:color="auto"/>
        </w:rPr>
        <w:t>第五条</w:t>
      </w:r>
      <w:r>
        <w:rPr>
          <w:rFonts w:hint="eastAsia" w:ascii="仿宋_GB2312" w:eastAsia="仿宋_GB2312"/>
          <w:color w:val="auto"/>
          <w:sz w:val="32"/>
          <w:szCs w:val="32"/>
          <w:u w:val="none" w:color="auto"/>
        </w:rPr>
        <w:t xml:space="preserve"> 对学生的处分程序正当，证据充分，依据明确，定性准确，处分适当。</w:t>
      </w:r>
    </w:p>
    <w:p>
      <w:pPr>
        <w:spacing w:line="560" w:lineRule="exact"/>
        <w:jc w:val="center"/>
        <w:rPr>
          <w:rFonts w:ascii="黑体" w:hAnsi="黑体" w:eastAsia="黑体" w:cs="黑体"/>
          <w:bCs/>
          <w:color w:val="auto"/>
          <w:sz w:val="32"/>
          <w:szCs w:val="32"/>
          <w:u w:val="none" w:color="auto"/>
        </w:rPr>
      </w:pPr>
      <w:r>
        <w:rPr>
          <w:rFonts w:hint="eastAsia" w:ascii="黑体" w:hAnsi="黑体" w:eastAsia="黑体" w:cs="黑体"/>
          <w:bCs/>
          <w:color w:val="auto"/>
          <w:sz w:val="32"/>
          <w:szCs w:val="32"/>
          <w:u w:val="none" w:color="auto"/>
        </w:rPr>
        <w:t>第二章    违纪处分</w:t>
      </w:r>
    </w:p>
    <w:p>
      <w:pPr>
        <w:spacing w:line="560" w:lineRule="exact"/>
        <w:rPr>
          <w:rFonts w:ascii="仿宋_GB2312" w:eastAsia="仿宋_GB2312"/>
          <w:color w:val="auto"/>
          <w:sz w:val="32"/>
          <w:szCs w:val="32"/>
          <w:u w:val="none" w:color="auto"/>
        </w:rPr>
      </w:pPr>
      <w:r>
        <w:rPr>
          <w:rFonts w:hint="eastAsia" w:ascii="仿宋_GB2312" w:eastAsia="仿宋_GB2312"/>
          <w:b/>
          <w:color w:val="auto"/>
          <w:sz w:val="32"/>
          <w:szCs w:val="32"/>
          <w:u w:val="none" w:color="auto"/>
        </w:rPr>
        <w:t>　  第六条</w:t>
      </w:r>
      <w:r>
        <w:rPr>
          <w:rFonts w:hint="eastAsia" w:ascii="仿宋_GB2312" w:eastAsia="仿宋_GB2312"/>
          <w:color w:val="auto"/>
          <w:sz w:val="32"/>
          <w:szCs w:val="32"/>
          <w:u w:val="none" w:color="auto"/>
        </w:rPr>
        <w:t xml:space="preserve">  对违反宪法，反对四项基本原则，从事非法的社会、政治、宗教活动或存在学术不端行为者，视其情节，给予记过直至开除学籍处分。</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（一）违反《中华人民共和国游行示威法》或其它有关法律法规，组织、参加未经批准的游行、示威活动；组织、策划或参与扰乱社会秩序或破坏学校的管理秩序者；</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（二）张贴、投递、散发大小字报、反动传单、标语，通过其他途径散布反动言论，混淆视听，制造混乱者；</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（三）违反学生团体管理的有关规定，组织成立未经批准的学生团体并开展活动，出版刊物，或以合法学生团体的名义开展非法活动，造成严重后果的；</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（四）组织进行非法宗教、迷信、邪教活动的；</w:t>
      </w:r>
    </w:p>
    <w:p>
      <w:pPr>
        <w:spacing w:line="560" w:lineRule="exact"/>
        <w:ind w:firstLine="640"/>
        <w:rPr>
          <w:rFonts w:ascii="仿宋_GB2312" w:eastAsia="仿宋_GB2312"/>
          <w:color w:val="auto"/>
          <w:sz w:val="32"/>
          <w:szCs w:val="32"/>
          <w:u w:val="none" w:color="auto"/>
        </w:rPr>
      </w:pPr>
      <w:r>
        <w:rPr>
          <w:rFonts w:hint="eastAsia" w:ascii="仿宋_GB2312" w:eastAsia="仿宋_GB2312"/>
          <w:color w:val="auto"/>
          <w:sz w:val="32"/>
          <w:szCs w:val="32"/>
          <w:u w:val="none" w:color="auto"/>
        </w:rPr>
        <w:t>（五）泄漏国家秘密，造成后果的；</w:t>
      </w:r>
    </w:p>
    <w:p>
      <w:pPr>
        <w:spacing w:line="560" w:lineRule="exact"/>
        <w:ind w:firstLine="640"/>
        <w:rPr>
          <w:rFonts w:ascii="仿宋_GB2312" w:eastAsia="仿宋_GB2312"/>
          <w:color w:val="auto"/>
          <w:sz w:val="32"/>
          <w:szCs w:val="32"/>
          <w:u w:val="none" w:color="auto"/>
        </w:rPr>
      </w:pPr>
      <w:r>
        <w:rPr>
          <w:rFonts w:hint="eastAsia" w:ascii="仿宋_GB2312" w:eastAsia="仿宋_GB2312"/>
          <w:color w:val="auto"/>
          <w:sz w:val="32"/>
          <w:szCs w:val="32"/>
          <w:u w:val="none" w:color="auto"/>
        </w:rPr>
        <w:t>（六）代替他人或者让他人代替自己参加考试、组织作弊、使用通讯设备或其他器材作弊、向他人出售考试试题或答案牟取利益，以及其他严重作弊或扰乱考试秩序行为的；</w:t>
      </w:r>
    </w:p>
    <w:p>
      <w:pPr>
        <w:spacing w:line="560" w:lineRule="exact"/>
        <w:ind w:firstLine="640"/>
        <w:rPr>
          <w:rFonts w:ascii="仿宋_GB2312" w:eastAsia="仿宋_GB2312"/>
          <w:color w:val="auto"/>
          <w:sz w:val="32"/>
          <w:szCs w:val="32"/>
          <w:u w:val="none" w:color="auto"/>
        </w:rPr>
      </w:pPr>
      <w:r>
        <w:rPr>
          <w:rFonts w:hint="eastAsia" w:ascii="仿宋_GB2312" w:eastAsia="仿宋_GB2312"/>
          <w:color w:val="auto"/>
          <w:sz w:val="32"/>
          <w:szCs w:val="32"/>
          <w:u w:val="none" w:color="auto"/>
        </w:rPr>
        <w:t>（七）学位论文、公开发表的研究成果存在抄袭、篡改、伪造等学术不端行为，情节严重的，或者代写论文、买卖论文的；</w:t>
      </w:r>
    </w:p>
    <w:p>
      <w:pPr>
        <w:spacing w:line="560" w:lineRule="exact"/>
        <w:ind w:firstLine="640"/>
        <w:rPr>
          <w:rFonts w:ascii="仿宋_GB2312" w:eastAsia="仿宋_GB2312"/>
          <w:color w:val="auto"/>
          <w:sz w:val="32"/>
          <w:szCs w:val="32"/>
          <w:u w:val="none" w:color="auto"/>
        </w:rPr>
      </w:pPr>
      <w:r>
        <w:rPr>
          <w:rFonts w:hint="eastAsia" w:ascii="仿宋_GB2312" w:eastAsia="仿宋_GB2312"/>
          <w:color w:val="auto"/>
          <w:sz w:val="32"/>
          <w:szCs w:val="32"/>
          <w:u w:val="none" w:color="auto"/>
        </w:rPr>
        <w:t>（八）违反本规定和学校规定，严重影响学校教育教学秩序、生活秩序以及公共场所管理秩序的；</w:t>
      </w:r>
    </w:p>
    <w:p>
      <w:pPr>
        <w:spacing w:line="560" w:lineRule="exact"/>
        <w:ind w:firstLine="640"/>
        <w:rPr>
          <w:rFonts w:ascii="仿宋_GB2312" w:eastAsia="仿宋_GB2312"/>
          <w:color w:val="auto"/>
          <w:sz w:val="32"/>
          <w:szCs w:val="32"/>
          <w:u w:val="none" w:color="auto"/>
        </w:rPr>
      </w:pPr>
      <w:r>
        <w:rPr>
          <w:rFonts w:hint="eastAsia" w:ascii="仿宋_GB2312" w:eastAsia="仿宋_GB2312"/>
          <w:color w:val="auto"/>
          <w:sz w:val="32"/>
          <w:szCs w:val="32"/>
          <w:u w:val="none" w:color="auto"/>
        </w:rPr>
        <w:t>（九）侵害其他个人、组织合法权益，造成严重后果的；</w:t>
      </w:r>
    </w:p>
    <w:p>
      <w:pPr>
        <w:spacing w:line="560" w:lineRule="exact"/>
        <w:ind w:firstLine="640"/>
        <w:rPr>
          <w:rFonts w:ascii="仿宋_GB2312" w:eastAsia="仿宋_GB2312"/>
          <w:color w:val="auto"/>
          <w:sz w:val="32"/>
          <w:szCs w:val="32"/>
          <w:u w:val="none" w:color="auto"/>
        </w:rPr>
      </w:pPr>
      <w:r>
        <w:rPr>
          <w:rFonts w:hint="eastAsia" w:ascii="仿宋_GB2312" w:eastAsia="仿宋_GB2312"/>
          <w:color w:val="auto"/>
          <w:sz w:val="32"/>
          <w:szCs w:val="32"/>
          <w:u w:val="none" w:color="auto"/>
        </w:rPr>
        <w:t>（十）屡次违反学校规定受到纪律处分，经教育不改的。</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w:t>
      </w:r>
      <w:r>
        <w:rPr>
          <w:rFonts w:hint="eastAsia" w:ascii="仿宋_GB2312" w:eastAsia="仿宋_GB2312"/>
          <w:b/>
          <w:color w:val="auto"/>
          <w:sz w:val="32"/>
          <w:szCs w:val="32"/>
          <w:u w:val="none" w:color="auto"/>
        </w:rPr>
        <w:t xml:space="preserve"> 第七条</w:t>
      </w:r>
      <w:r>
        <w:rPr>
          <w:rFonts w:hint="eastAsia" w:ascii="仿宋_GB2312" w:eastAsia="仿宋_GB2312"/>
          <w:color w:val="auto"/>
          <w:sz w:val="32"/>
          <w:szCs w:val="32"/>
          <w:u w:val="none" w:color="auto"/>
        </w:rPr>
        <w:t xml:space="preserve"> 对违反国家法律法规，受到公安司法部门处罚者，给予以下处分：</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（一）被人民法院依法确认构成刑事犯罪的，给予开除学籍处分；</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（二）处以劳动教养者，给予开除学籍处分；</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（三）被处以行政拘留者，给予留校察看或开除学籍处分；</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（四）被处以治安警告、治安罚款者，视其情节轻重，给予严重警告以上处分。</w:t>
      </w:r>
    </w:p>
    <w:p>
      <w:pPr>
        <w:spacing w:line="560" w:lineRule="exact"/>
        <w:ind w:firstLine="643" w:firstLineChars="200"/>
        <w:rPr>
          <w:rFonts w:ascii="仿宋_GB2312" w:eastAsia="仿宋_GB2312"/>
          <w:color w:val="auto"/>
          <w:sz w:val="32"/>
          <w:szCs w:val="32"/>
          <w:u w:val="none" w:color="auto"/>
        </w:rPr>
      </w:pPr>
      <w:r>
        <w:rPr>
          <w:rFonts w:hint="eastAsia" w:ascii="仿宋_GB2312" w:eastAsia="仿宋_GB2312"/>
          <w:b/>
          <w:color w:val="auto"/>
          <w:sz w:val="32"/>
          <w:szCs w:val="32"/>
          <w:u w:val="none" w:color="auto"/>
        </w:rPr>
        <w:t xml:space="preserve">第八条 </w:t>
      </w:r>
      <w:r>
        <w:rPr>
          <w:rFonts w:hint="eastAsia" w:ascii="仿宋_GB2312" w:eastAsia="仿宋_GB2312"/>
          <w:color w:val="auto"/>
          <w:sz w:val="32"/>
          <w:szCs w:val="32"/>
          <w:u w:val="none" w:color="auto"/>
        </w:rPr>
        <w:t>对寻衅滋事、打架斗殴者，给予以下处分：</w:t>
      </w:r>
    </w:p>
    <w:p>
      <w:pPr>
        <w:pStyle w:val="10"/>
        <w:widowControl w:val="0"/>
        <w:snapToGrid w:val="0"/>
        <w:spacing w:line="560" w:lineRule="exact"/>
        <w:ind w:firstLine="640" w:firstLineChars="200"/>
        <w:rPr>
          <w:rFonts w:ascii="仿宋_GB2312" w:hAnsi="宋体" w:eastAsia="仿宋_GB2312"/>
          <w:color w:val="auto"/>
          <w:sz w:val="32"/>
          <w:szCs w:val="32"/>
          <w:u w:val="none" w:color="auto"/>
        </w:rPr>
      </w:pPr>
      <w:r>
        <w:rPr>
          <w:rFonts w:hint="eastAsia" w:ascii="仿宋_GB2312" w:eastAsia="仿宋_GB2312"/>
          <w:color w:val="auto"/>
          <w:sz w:val="32"/>
          <w:szCs w:val="32"/>
          <w:u w:val="none" w:color="auto"/>
        </w:rPr>
        <w:t>（一）</w:t>
      </w:r>
      <w:r>
        <w:rPr>
          <w:rFonts w:hint="eastAsia" w:ascii="仿宋_GB2312" w:hAnsi="宋体" w:eastAsia="仿宋_GB2312"/>
          <w:color w:val="auto"/>
          <w:sz w:val="32"/>
          <w:szCs w:val="32"/>
          <w:u w:val="none" w:color="auto"/>
        </w:rPr>
        <w:t>肇事者（不守秩序、不听劝阻，用语言或其它方式触及他人，引起事端或者激化矛盾）</w:t>
      </w:r>
    </w:p>
    <w:p>
      <w:pPr>
        <w:pStyle w:val="10"/>
        <w:widowControl w:val="0"/>
        <w:snapToGrid w:val="0"/>
        <w:spacing w:line="560" w:lineRule="exact"/>
        <w:ind w:firstLine="57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1.虽未动手打人，造成打架后果者，视情节给予严重警告或者记过处分；</w:t>
      </w:r>
    </w:p>
    <w:p>
      <w:pPr>
        <w:pStyle w:val="10"/>
        <w:widowControl w:val="0"/>
        <w:snapToGrid w:val="0"/>
        <w:spacing w:line="560" w:lineRule="exact"/>
        <w:ind w:firstLine="57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2.动手打人，未致伤者，给予记过处分；</w:t>
      </w:r>
    </w:p>
    <w:p>
      <w:pPr>
        <w:pStyle w:val="10"/>
        <w:widowControl w:val="0"/>
        <w:snapToGrid w:val="0"/>
        <w:spacing w:line="560" w:lineRule="exact"/>
        <w:ind w:firstLine="57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3.致轻微伤者，给予留校察看处分；</w:t>
      </w:r>
    </w:p>
    <w:p>
      <w:pPr>
        <w:pStyle w:val="10"/>
        <w:widowControl w:val="0"/>
        <w:snapToGrid w:val="0"/>
        <w:spacing w:line="560" w:lineRule="exact"/>
        <w:ind w:firstLine="57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4.致轻伤及以上者，给予开除学籍处分。</w:t>
      </w:r>
    </w:p>
    <w:p>
      <w:pPr>
        <w:pStyle w:val="10"/>
        <w:widowControl w:val="0"/>
        <w:snapToGrid w:val="0"/>
        <w:spacing w:line="560" w:lineRule="exact"/>
        <w:ind w:firstLine="60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（二）策划、怂恿他人打架者</w:t>
      </w:r>
    </w:p>
    <w:p>
      <w:pPr>
        <w:pStyle w:val="10"/>
        <w:widowControl w:val="0"/>
        <w:snapToGrid w:val="0"/>
        <w:spacing w:line="560" w:lineRule="exact"/>
        <w:ind w:firstLine="60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1.未造成危害后果者，给予严重警告处分；</w:t>
      </w:r>
    </w:p>
    <w:p>
      <w:pPr>
        <w:pStyle w:val="10"/>
        <w:widowControl w:val="0"/>
        <w:snapToGrid w:val="0"/>
        <w:spacing w:line="560" w:lineRule="exact"/>
        <w:ind w:firstLine="60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2.造成打架后果者，视情节与后果，给予记过以上处分；</w:t>
      </w:r>
    </w:p>
    <w:p>
      <w:pPr>
        <w:pStyle w:val="10"/>
        <w:widowControl w:val="0"/>
        <w:snapToGrid w:val="0"/>
        <w:spacing w:line="560" w:lineRule="exact"/>
        <w:ind w:firstLine="60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3.参与打架者，加重一级处分。</w:t>
      </w:r>
    </w:p>
    <w:p>
      <w:pPr>
        <w:pStyle w:val="10"/>
        <w:widowControl w:val="0"/>
        <w:snapToGrid w:val="0"/>
        <w:spacing w:line="560" w:lineRule="exact"/>
        <w:ind w:firstLine="60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（三）打架者</w:t>
      </w:r>
    </w:p>
    <w:p>
      <w:pPr>
        <w:pStyle w:val="10"/>
        <w:widowControl w:val="0"/>
        <w:snapToGrid w:val="0"/>
        <w:spacing w:line="560" w:lineRule="exact"/>
        <w:ind w:firstLine="60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1.动手打人，未致伤者，给予记过处分；</w:t>
      </w:r>
    </w:p>
    <w:p>
      <w:pPr>
        <w:pStyle w:val="10"/>
        <w:widowControl w:val="0"/>
        <w:snapToGrid w:val="0"/>
        <w:spacing w:line="560" w:lineRule="exact"/>
        <w:ind w:firstLine="60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2.致轻微伤者，给予留校察看处分；</w:t>
      </w:r>
    </w:p>
    <w:p>
      <w:pPr>
        <w:pStyle w:val="10"/>
        <w:widowControl w:val="0"/>
        <w:snapToGrid w:val="0"/>
        <w:spacing w:line="560" w:lineRule="exact"/>
        <w:ind w:firstLine="60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3.致轻伤及以上者，给予开除学籍处分。</w:t>
      </w:r>
    </w:p>
    <w:p>
      <w:pPr>
        <w:pStyle w:val="10"/>
        <w:widowControl w:val="0"/>
        <w:snapToGrid w:val="0"/>
        <w:spacing w:line="560" w:lineRule="exact"/>
        <w:ind w:firstLine="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    （四）参与者以“劝架”为名偏袒一方，促使殴打事态发展并造成不良后果者，给予严重警告处分。</w:t>
      </w:r>
    </w:p>
    <w:p>
      <w:pPr>
        <w:pStyle w:val="10"/>
        <w:widowControl w:val="0"/>
        <w:snapToGrid w:val="0"/>
        <w:spacing w:line="560" w:lineRule="exact"/>
        <w:ind w:firstLine="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    （五）持械打人或者勾结校外人员聚众斗殴，视情节与后果给予留校察看或者开除学籍处分；持械威胁他人，未造成后果者，给予记过处分。 </w:t>
      </w:r>
    </w:p>
    <w:p>
      <w:pPr>
        <w:pStyle w:val="10"/>
        <w:widowControl w:val="0"/>
        <w:snapToGrid w:val="0"/>
        <w:spacing w:line="560" w:lineRule="exact"/>
        <w:ind w:firstLine="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    （六）为他人提供凶器，未造成伤害者，给予记过处分；造成伤害者，给予留校察看或者开除学籍处分。</w:t>
      </w:r>
    </w:p>
    <w:p>
      <w:pPr>
        <w:pStyle w:val="10"/>
        <w:widowControl w:val="0"/>
        <w:snapToGrid w:val="0"/>
        <w:spacing w:line="560" w:lineRule="exact"/>
        <w:ind w:firstLine="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    （七）打架事件终止后又报复打人，造成后果者，给予留校察看或者开除学籍处分。</w:t>
      </w:r>
    </w:p>
    <w:p>
      <w:pPr>
        <w:pStyle w:val="10"/>
        <w:widowControl w:val="0"/>
        <w:snapToGrid w:val="0"/>
        <w:spacing w:line="560" w:lineRule="exact"/>
        <w:ind w:firstLine="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    （八）在处理打架事件过程中，当事人不经过学校相关部门，利用不正当手段私下解决或者组织他人提供伪证者，给予留校察看处分；旁证人提供伪证，妨碍调查处理工作正常进行者，给予严重警告处分。</w:t>
      </w:r>
    </w:p>
    <w:p>
      <w:pPr>
        <w:pStyle w:val="10"/>
        <w:widowControl w:val="0"/>
        <w:snapToGrid w:val="0"/>
        <w:spacing w:line="560" w:lineRule="exact"/>
        <w:ind w:firstLine="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    因打架斗殴致人伤害者，必须负担受伤者医疗护理等必要费用和赔偿受伤者经济损失。</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w:t>
      </w:r>
      <w:r>
        <w:rPr>
          <w:rFonts w:hint="eastAsia" w:ascii="仿宋_GB2312" w:eastAsia="仿宋_GB2312"/>
          <w:b/>
          <w:color w:val="auto"/>
          <w:sz w:val="32"/>
          <w:szCs w:val="32"/>
          <w:u w:val="none" w:color="auto"/>
        </w:rPr>
        <w:t>第九条</w:t>
      </w:r>
      <w:r>
        <w:rPr>
          <w:rFonts w:hint="eastAsia" w:ascii="仿宋_GB2312" w:eastAsia="仿宋_GB2312"/>
          <w:color w:val="auto"/>
          <w:sz w:val="32"/>
          <w:szCs w:val="32"/>
          <w:u w:val="none" w:color="auto"/>
        </w:rPr>
        <w:t>　以任意手段非法占有公、私财物者，除如数偿还和接受公安机关处罚外，视其情节给予以下处分：</w:t>
      </w:r>
    </w:p>
    <w:p>
      <w:pPr>
        <w:pStyle w:val="10"/>
        <w:widowControl w:val="0"/>
        <w:snapToGrid w:val="0"/>
        <w:spacing w:line="560" w:lineRule="exact"/>
        <w:ind w:firstLine="640" w:firstLineChars="20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一）偷窃财物价值不满300元者给予警告或者严重警告处分；价值300元以上（含300元），或者虽不满300元，但多次作案（包括小偷小摸），视情节轻重，给予记过或者留校察看处分；价值800元以上，视情节给予留校察看直至开除学籍处分。</w:t>
      </w:r>
    </w:p>
    <w:p>
      <w:pPr>
        <w:pStyle w:val="10"/>
        <w:widowControl w:val="0"/>
        <w:snapToGrid w:val="0"/>
        <w:spacing w:line="560" w:lineRule="exact"/>
        <w:ind w:firstLine="57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二）利用他人有效证件，有冒领存款、汇款或者其它钱物等诈骗行为的，诈骗财物价值不满500元者给予警告或者严重警告处分；价值500元以上（含500元），或者虽不满500元，但多次作案，视情节轻重，给予记过或者留校察看处分；价值2000元以上，视情节给予留校察看直至开除学籍处分。</w:t>
      </w:r>
    </w:p>
    <w:p>
      <w:pPr>
        <w:pStyle w:val="10"/>
        <w:widowControl w:val="0"/>
        <w:snapToGrid w:val="0"/>
        <w:spacing w:line="560" w:lineRule="exact"/>
        <w:ind w:firstLine="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    （三）屡教不改、团伙作案为首者或者以抢夺、敲诈勒索等手段作案者，加重一级处分。</w:t>
      </w:r>
    </w:p>
    <w:p>
      <w:pPr>
        <w:pStyle w:val="10"/>
        <w:widowControl w:val="0"/>
        <w:snapToGrid w:val="0"/>
        <w:spacing w:line="560" w:lineRule="exact"/>
        <w:ind w:firstLine="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    （四）经保卫或者公安部门确认撬窃者，虽未窃得财物，给予警告处分。</w:t>
      </w:r>
    </w:p>
    <w:p>
      <w:pPr>
        <w:pStyle w:val="10"/>
        <w:widowControl w:val="0"/>
        <w:snapToGrid w:val="0"/>
        <w:spacing w:line="560" w:lineRule="exact"/>
        <w:ind w:firstLine="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    （五）为作案者放哨、提供信息、提供作案工具或者进行掩盖、窝赃者，与作案者同论。</w:t>
      </w:r>
    </w:p>
    <w:p>
      <w:pPr>
        <w:pStyle w:val="10"/>
        <w:widowControl w:val="0"/>
        <w:snapToGrid w:val="0"/>
        <w:spacing w:line="560" w:lineRule="exact"/>
        <w:ind w:firstLine="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    （六）偷窃公章、证件、文件、档案等物品者，视情节轻重，给予记过以上处分。</w:t>
      </w:r>
    </w:p>
    <w:p>
      <w:pPr>
        <w:pStyle w:val="10"/>
        <w:widowControl w:val="0"/>
        <w:snapToGrid w:val="0"/>
        <w:spacing w:line="560" w:lineRule="exact"/>
        <w:ind w:firstLine="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    （七）将他人遗忘物占为己有并拒不归还者者，给予警告处分。</w:t>
      </w:r>
    </w:p>
    <w:p>
      <w:pPr>
        <w:pStyle w:val="10"/>
        <w:widowControl w:val="0"/>
        <w:snapToGrid w:val="0"/>
        <w:spacing w:line="560" w:lineRule="exact"/>
        <w:ind w:firstLine="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    （八）明知赃物而购买者，给予警告处分。</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w:t>
      </w:r>
      <w:r>
        <w:rPr>
          <w:rFonts w:hint="eastAsia" w:ascii="仿宋_GB2312" w:eastAsia="仿宋_GB2312"/>
          <w:b/>
          <w:color w:val="auto"/>
          <w:sz w:val="32"/>
          <w:szCs w:val="32"/>
          <w:u w:val="none" w:color="auto"/>
        </w:rPr>
        <w:t xml:space="preserve"> 第十条  </w:t>
      </w:r>
      <w:r>
        <w:rPr>
          <w:rFonts w:hint="eastAsia" w:ascii="仿宋_GB2312" w:eastAsia="仿宋_GB2312"/>
          <w:color w:val="auto"/>
          <w:sz w:val="32"/>
          <w:szCs w:val="32"/>
          <w:u w:val="none" w:color="auto"/>
        </w:rPr>
        <w:t>损坏公、私财物者，视其情节，给予以下处分：</w:t>
      </w:r>
    </w:p>
    <w:p>
      <w:pPr>
        <w:pStyle w:val="10"/>
        <w:widowControl w:val="0"/>
        <w:snapToGrid w:val="0"/>
        <w:spacing w:line="560" w:lineRule="exact"/>
        <w:ind w:firstLine="640" w:firstLineChars="20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（一）过失损坏公私财物，除给予赔偿外，视情节与后果给予批评教育或者警告以上处分。</w:t>
      </w:r>
    </w:p>
    <w:p>
      <w:pPr>
        <w:pStyle w:val="10"/>
        <w:widowControl w:val="0"/>
        <w:snapToGrid w:val="0"/>
        <w:spacing w:line="560" w:lineRule="exact"/>
        <w:ind w:firstLine="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    （二）故意毁坏公私财物，除赔偿损失外，价值不满100元者，给予警告处分；价值在100元以上（含100元），给予严重警告以上处分。</w:t>
      </w:r>
    </w:p>
    <w:p>
      <w:pPr>
        <w:pStyle w:val="10"/>
        <w:widowControl w:val="0"/>
        <w:snapToGrid w:val="0"/>
        <w:spacing w:line="560" w:lineRule="exact"/>
        <w:ind w:firstLine="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    （三）违反消防规定，或者擅自动用消防器材者，未造成损害后果，给予警告处分；造成损害后果者，给予记过以上处分；造成严重损失或者危害者，给予开除学籍处分。</w:t>
      </w:r>
    </w:p>
    <w:p>
      <w:pPr>
        <w:pStyle w:val="10"/>
        <w:widowControl w:val="0"/>
        <w:snapToGrid w:val="0"/>
        <w:spacing w:line="560" w:lineRule="exact"/>
        <w:ind w:firstLine="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    （四）擅自出借、出租、挪用公物者，给予警告或者严重警告处分。</w:t>
      </w:r>
    </w:p>
    <w:p>
      <w:pPr>
        <w:pStyle w:val="10"/>
        <w:widowControl w:val="0"/>
        <w:snapToGrid w:val="0"/>
        <w:spacing w:line="560" w:lineRule="exact"/>
        <w:ind w:firstLine="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    （五）故意损坏学校各部门张贴的通知、通告、布告者，视情节轻重给予批评教育或者警告处分。</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w:t>
      </w:r>
      <w:r>
        <w:rPr>
          <w:rFonts w:hint="eastAsia" w:ascii="仿宋_GB2312" w:eastAsia="仿宋_GB2312"/>
          <w:b/>
          <w:color w:val="auto"/>
          <w:sz w:val="32"/>
          <w:szCs w:val="32"/>
          <w:u w:val="none" w:color="auto"/>
        </w:rPr>
        <w:t xml:space="preserve">  第十一条</w:t>
      </w:r>
      <w:r>
        <w:rPr>
          <w:rFonts w:hint="eastAsia" w:ascii="仿宋_GB2312" w:eastAsia="仿宋_GB2312"/>
          <w:color w:val="auto"/>
          <w:sz w:val="32"/>
          <w:szCs w:val="32"/>
          <w:u w:val="none" w:color="auto"/>
        </w:rPr>
        <w:t xml:space="preserve"> 违反学校关于学生住宿管理的有关规定，扰乱宿舍管理秩序者，视其情节，给予以下处分：</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（一）不按学校安排住宿，擅自调换、私自占用学生宿舍或出租床位，经批评教育不改者，给予警告以上处分。</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（二）擅自留宿非本宿舍成员，经批评教育不改者，给予警告处分。</w:t>
      </w:r>
    </w:p>
    <w:p>
      <w:pPr>
        <w:spacing w:line="560" w:lineRule="exact"/>
        <w:ind w:firstLine="640" w:firstLineChars="200"/>
        <w:rPr>
          <w:rFonts w:ascii="仿宋_GB2312" w:eastAsia="仿宋_GB2312"/>
          <w:color w:val="auto"/>
          <w:sz w:val="32"/>
          <w:szCs w:val="32"/>
          <w:u w:val="none" w:color="auto"/>
        </w:rPr>
      </w:pPr>
      <w:r>
        <w:rPr>
          <w:rFonts w:hint="eastAsia" w:ascii="仿宋_GB2312" w:eastAsia="仿宋_GB2312"/>
          <w:color w:val="auto"/>
          <w:sz w:val="32"/>
          <w:szCs w:val="32"/>
          <w:u w:val="none" w:color="auto"/>
        </w:rPr>
        <w:t>因留宿非本宿舍成员或让其进入宿舍而造成不良后果者，视其情节，给予记过以上处分。</w:t>
      </w:r>
    </w:p>
    <w:p>
      <w:pPr>
        <w:spacing w:line="560" w:lineRule="exact"/>
        <w:ind w:firstLine="640" w:firstLineChars="200"/>
        <w:rPr>
          <w:rFonts w:ascii="仿宋_GB2312" w:eastAsia="仿宋_GB2312"/>
          <w:color w:val="auto"/>
          <w:sz w:val="32"/>
          <w:szCs w:val="32"/>
          <w:u w:val="none" w:color="auto"/>
        </w:rPr>
      </w:pPr>
      <w:r>
        <w:rPr>
          <w:rFonts w:hint="eastAsia" w:ascii="仿宋_GB2312" w:eastAsia="仿宋_GB2312"/>
          <w:color w:val="auto"/>
          <w:sz w:val="32"/>
          <w:szCs w:val="32"/>
          <w:u w:val="none" w:color="auto"/>
        </w:rPr>
        <w:t>留宿异性或在异性宿舍留宿者，给予留校察看以上处分。</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（三）擅自在外租房居住，夜不归宿，经批评教育不改者，给予警告以上处分。</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（四）扰乱宿舍管理秩序，对他人的正常学习生活造成影响，经批评教育不改者，视其情节，给予警告以上处分。</w:t>
      </w:r>
    </w:p>
    <w:p>
      <w:pPr>
        <w:numPr>
          <w:ilvl w:val="0"/>
          <w:numId w:val="1"/>
        </w:numPr>
        <w:spacing w:line="560" w:lineRule="exact"/>
        <w:ind w:firstLine="640" w:firstLineChars="200"/>
        <w:rPr>
          <w:rFonts w:ascii="仿宋_GB2312" w:eastAsia="仿宋_GB2312"/>
          <w:color w:val="auto"/>
          <w:sz w:val="32"/>
          <w:szCs w:val="32"/>
          <w:u w:val="none" w:color="auto"/>
        </w:rPr>
      </w:pPr>
      <w:r>
        <w:rPr>
          <w:rFonts w:hint="eastAsia" w:ascii="仿宋_GB2312" w:eastAsia="仿宋_GB2312"/>
          <w:color w:val="auto"/>
          <w:sz w:val="32"/>
          <w:szCs w:val="32"/>
          <w:u w:val="none" w:color="auto"/>
        </w:rPr>
        <w:t>违反宿舍消防、用电的相关规定，私接电源、乱拉电线，经批评教育不改者，给予警告以上处分。</w:t>
      </w:r>
    </w:p>
    <w:p>
      <w:pPr>
        <w:spacing w:line="560" w:lineRule="exact"/>
        <w:ind w:left="420" w:leftChars="200" w:firstLine="640" w:firstLineChars="200"/>
        <w:rPr>
          <w:rFonts w:ascii="仿宋_GB2312" w:eastAsia="仿宋_GB2312"/>
          <w:color w:val="auto"/>
          <w:sz w:val="32"/>
          <w:szCs w:val="32"/>
          <w:u w:val="none" w:color="auto"/>
        </w:rPr>
      </w:pPr>
      <w:r>
        <w:rPr>
          <w:rFonts w:hint="eastAsia" w:ascii="仿宋_GB2312" w:eastAsia="仿宋_GB2312"/>
          <w:color w:val="auto"/>
          <w:sz w:val="32"/>
          <w:szCs w:val="32"/>
          <w:u w:val="none" w:color="auto"/>
        </w:rPr>
        <w:t>因以上行为引起火灾造成严重后果者，视其情节，给予记过以上处分。</w:t>
      </w:r>
    </w:p>
    <w:p>
      <w:pPr>
        <w:spacing w:line="560" w:lineRule="exact"/>
        <w:ind w:firstLine="555"/>
        <w:rPr>
          <w:rFonts w:ascii="仿宋_GB2312" w:eastAsia="仿宋_GB2312"/>
          <w:color w:val="auto"/>
          <w:sz w:val="32"/>
          <w:szCs w:val="32"/>
          <w:u w:val="none" w:color="auto"/>
        </w:rPr>
      </w:pPr>
      <w:r>
        <w:rPr>
          <w:rFonts w:hint="eastAsia" w:ascii="仿宋_GB2312" w:eastAsia="仿宋_GB2312"/>
          <w:color w:val="auto"/>
          <w:sz w:val="32"/>
          <w:szCs w:val="32"/>
          <w:u w:val="none" w:color="auto"/>
        </w:rPr>
        <w:t>（六）在宿舍存放公安部门禁止的任何管制凶器拒不交出者，给予严重警告以上处分；造成不良后果者，给予记过以上处分。</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w:t>
      </w:r>
      <w:r>
        <w:rPr>
          <w:rFonts w:hint="eastAsia" w:ascii="仿宋_GB2312" w:eastAsia="仿宋_GB2312"/>
          <w:b/>
          <w:color w:val="auto"/>
          <w:sz w:val="32"/>
          <w:szCs w:val="32"/>
          <w:u w:val="none" w:color="auto"/>
        </w:rPr>
        <w:t>第十二条</w:t>
      </w:r>
      <w:r>
        <w:rPr>
          <w:rFonts w:hint="eastAsia" w:ascii="仿宋_GB2312" w:eastAsia="仿宋_GB2312"/>
          <w:color w:val="auto"/>
          <w:sz w:val="32"/>
          <w:szCs w:val="32"/>
          <w:u w:val="none" w:color="auto"/>
        </w:rPr>
        <w:t xml:space="preserve">  有下列行为者，给予警告以上处分：</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（一）凡偷盗书刊、损坏馆藏图书，以旧换新，以次充好，偷用他人证件借书者，视其情节，给予警告以上处分。</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（二）伪造、变造、冒领、冒用、转让各种证件或证明文件者，给予以下处分：</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1.伪造学生证、图书证等证件者，伪造各类有价证券者，给予记过以上处分；</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2.变造、冒领、冒用各种证件并产生不良后果者，给予记过以上处分；</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3.转借各种证件并产生不良后果者，视后果情况给予警告以上处分；</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4.违反学校有关医疗保险的规定，弄虚作假者（如修改处方、开假报销单、开假证明等），视其情节，给予警告以上处分。</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5.有下列行为者，视其情节，给予记过以上处分：</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（1）私刻、伪造公章；</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（2）涂改、伪造成绩单；</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（3）伪造教师签名；</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（4）伪造各类获奖证书、证明、毕业证等有关证件、证明文件。</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（三）侮辱、谩骂或威吓他人，经教育不改者，给予警告处分，造成不良后果者，给予严重警告以上处分。</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（四）造谣、诬陷他人，视其情节，给予警告以上处分。</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（五）因学习成绩评定、调整专业、评奖、处分等原因，对有关人员寻衅滋事者，视其情节，给予警告以上处分。</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（六）拒绝、阻碍国家工作人员或学校管理人员依法或依校规校纪执行公务者，视其情节，给予警告以上处分。</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（七）隐匿、毁弃或私拆他人信件，造成不良影响或损失者，视其情节，给予警告以上处分。</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（八）冒用学校或他人名义，侵害学校或他人利益，给学校或他人造成不良影响或损失者，除赔偿经济损失外，视其情节，给予记过以上处分。</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（九）卖淫、嫖娼行为的当事人，给予留校察看以上处分。</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w:t>
      </w:r>
      <w:r>
        <w:rPr>
          <w:rFonts w:hint="eastAsia" w:ascii="仿宋_GB2312" w:eastAsia="仿宋_GB2312"/>
          <w:b/>
          <w:color w:val="auto"/>
          <w:sz w:val="32"/>
          <w:szCs w:val="32"/>
          <w:u w:val="none" w:color="auto"/>
        </w:rPr>
        <w:t>第十三条</w:t>
      </w:r>
      <w:r>
        <w:rPr>
          <w:rFonts w:hint="eastAsia" w:ascii="仿宋_GB2312" w:eastAsia="仿宋_GB2312"/>
          <w:color w:val="auto"/>
          <w:sz w:val="32"/>
          <w:szCs w:val="32"/>
          <w:u w:val="none" w:color="auto"/>
        </w:rPr>
        <w:t xml:space="preserve">  收看、传播淫秽物品者，给予以下处分：</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（一）收看淫秽书刊、网页、视频者，给予严重警告处分；经教育不改者，给予记过以上处分。</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（二）乱涂乱画淫秽文字、图像，制作、复制、出售、出租或传播淫秽物品者，视其情节，给予记过以上处分。</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w:t>
      </w:r>
      <w:r>
        <w:rPr>
          <w:rFonts w:hint="eastAsia" w:ascii="仿宋_GB2312" w:eastAsia="仿宋_GB2312"/>
          <w:b/>
          <w:color w:val="auto"/>
          <w:sz w:val="32"/>
          <w:szCs w:val="32"/>
          <w:u w:val="none" w:color="auto"/>
        </w:rPr>
        <w:t xml:space="preserve">第十四条 </w:t>
      </w:r>
      <w:r>
        <w:rPr>
          <w:rFonts w:hint="eastAsia" w:ascii="仿宋_GB2312" w:eastAsia="仿宋_GB2312"/>
          <w:color w:val="auto"/>
          <w:sz w:val="32"/>
          <w:szCs w:val="32"/>
          <w:u w:val="none" w:color="auto"/>
        </w:rPr>
        <w:t>组织或参与赌博者，给予以下处分：</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（一）参与赌博或变相赌博者，视其情节，给予警告以上处分。</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（二）组织赌博者，给予留校察看以上处分。</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（三）为赌博提供赌场、赌具，但未参与赌博者，给予警告或者严重警告处分；同时参与赌博者，给予留校察看以上处分。　</w:t>
      </w:r>
    </w:p>
    <w:p>
      <w:pPr>
        <w:spacing w:line="560" w:lineRule="exact"/>
        <w:rPr>
          <w:rFonts w:ascii="仿宋_GB2312" w:eastAsia="仿宋_GB2312"/>
          <w:color w:val="auto"/>
          <w:sz w:val="32"/>
          <w:szCs w:val="32"/>
          <w:u w:val="none" w:color="auto"/>
        </w:rPr>
      </w:pPr>
      <w:r>
        <w:rPr>
          <w:rFonts w:hint="eastAsia" w:ascii="仿宋_GB2312" w:eastAsia="仿宋_GB2312"/>
          <w:b/>
          <w:color w:val="auto"/>
          <w:sz w:val="32"/>
          <w:szCs w:val="32"/>
          <w:u w:val="none" w:color="auto"/>
        </w:rPr>
        <w:t xml:space="preserve">     第十五条</w:t>
      </w:r>
      <w:r>
        <w:rPr>
          <w:rFonts w:hint="eastAsia" w:ascii="仿宋_GB2312" w:eastAsia="仿宋_GB2312"/>
          <w:color w:val="auto"/>
          <w:sz w:val="32"/>
          <w:szCs w:val="32"/>
          <w:u w:val="none" w:color="auto"/>
        </w:rPr>
        <w:t xml:space="preserve">  破坏环境卫生，扰乱学校公共场所正常秩序，视其情节，给予以下处分：</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（一）在建筑物、公用设施上乱涂、乱写、乱画、乱贴，经教育不改者，给予警告以上处分。</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（二）损坏校园设施，破坏草坪，攀折花木者，视其情节，给予警告以上处分。</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（三）扰乱课堂、食堂、图书馆、会场等公共场所秩序，乱扔废弃脏物，经劝告不改者，视其情节，给予警告以上处分。</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w:t>
      </w:r>
      <w:r>
        <w:rPr>
          <w:rFonts w:hint="eastAsia" w:ascii="仿宋_GB2312" w:eastAsia="仿宋_GB2312"/>
          <w:b/>
          <w:color w:val="auto"/>
          <w:sz w:val="32"/>
          <w:szCs w:val="32"/>
          <w:u w:val="none" w:color="auto"/>
        </w:rPr>
        <w:t>第十六条　</w:t>
      </w:r>
      <w:r>
        <w:rPr>
          <w:rFonts w:hint="eastAsia" w:ascii="仿宋_GB2312" w:eastAsia="仿宋_GB2312"/>
          <w:color w:val="auto"/>
          <w:sz w:val="32"/>
          <w:szCs w:val="32"/>
          <w:u w:val="none" w:color="auto"/>
        </w:rPr>
        <w:t>未请假不参加学校规定的教育教学活动者，按旷课处理。一学年内累计旷课达到以下学时者，给予相应处分：</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（一）15－20学时，给予警告处分；</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（二）21－30学时，给予严重警告处分；</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（三）31－39学时，给予记过处分；</w:t>
      </w:r>
    </w:p>
    <w:p>
      <w:pPr>
        <w:spacing w:line="560" w:lineRule="exact"/>
        <w:ind w:firstLine="645"/>
        <w:rPr>
          <w:rFonts w:hint="eastAsia" w:ascii="仿宋_GB2312" w:eastAsia="仿宋_GB2312"/>
          <w:color w:val="auto"/>
          <w:sz w:val="32"/>
          <w:szCs w:val="32"/>
          <w:u w:val="none" w:color="auto"/>
        </w:rPr>
      </w:pPr>
      <w:r>
        <w:rPr>
          <w:rFonts w:hint="eastAsia" w:ascii="仿宋_GB2312" w:eastAsia="仿宋_GB2312"/>
          <w:color w:val="auto"/>
          <w:sz w:val="32"/>
          <w:szCs w:val="32"/>
          <w:u w:val="none" w:color="auto"/>
        </w:rPr>
        <w:t>（四）40学时以上的，给予留校察看处分。</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w:t>
      </w:r>
      <w:r>
        <w:rPr>
          <w:rFonts w:hint="eastAsia" w:ascii="仿宋_GB2312" w:eastAsia="仿宋_GB2312"/>
          <w:b/>
          <w:color w:val="auto"/>
          <w:sz w:val="32"/>
          <w:szCs w:val="32"/>
          <w:u w:val="none" w:color="auto"/>
        </w:rPr>
        <w:t xml:space="preserve">   第十七条 </w:t>
      </w:r>
      <w:r>
        <w:rPr>
          <w:rFonts w:hint="eastAsia" w:ascii="仿宋_GB2312" w:eastAsia="仿宋_GB2312"/>
          <w:color w:val="auto"/>
          <w:sz w:val="32"/>
          <w:szCs w:val="32"/>
          <w:u w:val="none" w:color="auto"/>
        </w:rPr>
        <w:t>学生严重违反考试纪律或者作弊的，给予相应的纪律处分。</w:t>
      </w:r>
    </w:p>
    <w:p>
      <w:pPr>
        <w:pStyle w:val="10"/>
        <w:widowControl w:val="0"/>
        <w:snapToGrid w:val="0"/>
        <w:spacing w:line="560" w:lineRule="exact"/>
        <w:ind w:firstLine="0"/>
        <w:rPr>
          <w:rFonts w:ascii="仿宋_GB2312" w:hAnsi="宋体" w:eastAsia="仿宋_GB2312"/>
          <w:color w:val="auto"/>
          <w:sz w:val="32"/>
          <w:szCs w:val="32"/>
          <w:u w:val="none" w:color="auto"/>
        </w:rPr>
      </w:pPr>
      <w:r>
        <w:rPr>
          <w:rFonts w:hint="eastAsia" w:ascii="仿宋_GB2312" w:eastAsia="仿宋_GB2312"/>
          <w:color w:val="auto"/>
          <w:sz w:val="32"/>
          <w:szCs w:val="32"/>
          <w:u w:val="none" w:color="auto"/>
        </w:rPr>
        <w:t xml:space="preserve">    </w:t>
      </w:r>
      <w:r>
        <w:rPr>
          <w:rFonts w:hint="eastAsia" w:ascii="仿宋_GB2312" w:hAnsi="宋体" w:eastAsia="仿宋_GB2312"/>
          <w:color w:val="auto"/>
          <w:sz w:val="32"/>
          <w:szCs w:val="32"/>
          <w:u w:val="none" w:color="auto"/>
        </w:rPr>
        <w:t>（一）有下列行为之一者，给予严重警告处分：</w:t>
      </w:r>
    </w:p>
    <w:p>
      <w:pPr>
        <w:pStyle w:val="10"/>
        <w:widowControl w:val="0"/>
        <w:snapToGrid w:val="0"/>
        <w:spacing w:line="560" w:lineRule="exact"/>
        <w:ind w:firstLine="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     1.随身携带与考试内容相关的文字材料或者携带存储与考试内容相关资料的电子设备参加考试者（开卷考试允许携带的除外）；</w:t>
      </w:r>
    </w:p>
    <w:p>
      <w:pPr>
        <w:pStyle w:val="10"/>
        <w:widowControl w:val="0"/>
        <w:snapToGrid w:val="0"/>
        <w:spacing w:line="560" w:lineRule="exact"/>
        <w:ind w:firstLine="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     2.在考试中发现利用文具盒、试卷、答卷或者其他考试用具等夹带与考试内容相关的文字材料行为者（无论看与否）；</w:t>
      </w:r>
    </w:p>
    <w:p>
      <w:pPr>
        <w:pStyle w:val="10"/>
        <w:widowControl w:val="0"/>
        <w:snapToGrid w:val="0"/>
        <w:spacing w:line="560" w:lineRule="exact"/>
        <w:ind w:firstLine="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     3.在桌面、身上等处写有与考试课程相关内容者；</w:t>
      </w:r>
    </w:p>
    <w:p>
      <w:pPr>
        <w:pStyle w:val="10"/>
        <w:widowControl w:val="0"/>
        <w:snapToGrid w:val="0"/>
        <w:spacing w:line="560" w:lineRule="exact"/>
        <w:ind w:firstLine="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     4.考试协同作弊者；</w:t>
      </w:r>
    </w:p>
    <w:p>
      <w:pPr>
        <w:pStyle w:val="10"/>
        <w:widowControl w:val="0"/>
        <w:snapToGrid w:val="0"/>
        <w:spacing w:line="560" w:lineRule="exact"/>
        <w:ind w:firstLine="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     5.其他类似性质或程度行为的者。</w:t>
      </w:r>
    </w:p>
    <w:p>
      <w:pPr>
        <w:pStyle w:val="10"/>
        <w:widowControl w:val="0"/>
        <w:snapToGrid w:val="0"/>
        <w:spacing w:line="560" w:lineRule="exact"/>
        <w:ind w:firstLine="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    （二）有下列行为之一者，给予记过处分：</w:t>
      </w:r>
    </w:p>
    <w:p>
      <w:pPr>
        <w:pStyle w:val="10"/>
        <w:widowControl w:val="0"/>
        <w:snapToGrid w:val="0"/>
        <w:spacing w:line="560" w:lineRule="exact"/>
        <w:ind w:firstLine="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     1.抄袭事先准备的携带或者夹带的文字材料；</w:t>
      </w:r>
    </w:p>
    <w:p>
      <w:pPr>
        <w:pStyle w:val="10"/>
        <w:widowControl w:val="0"/>
        <w:snapToGrid w:val="0"/>
        <w:spacing w:line="560" w:lineRule="exact"/>
        <w:ind w:firstLine="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     2.抄袭或者协助他人抄袭试题答案或者与考试内容相关资料者；</w:t>
      </w:r>
    </w:p>
    <w:p>
      <w:pPr>
        <w:pStyle w:val="10"/>
        <w:widowControl w:val="0"/>
        <w:snapToGrid w:val="0"/>
        <w:spacing w:line="560" w:lineRule="exact"/>
        <w:ind w:firstLine="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     3.抢夺、窃取他人试卷、答案或者强迫他人为自己抄袭提供方便者；</w:t>
      </w:r>
    </w:p>
    <w:p>
      <w:pPr>
        <w:pStyle w:val="10"/>
        <w:widowControl w:val="0"/>
        <w:snapToGrid w:val="0"/>
        <w:spacing w:line="560" w:lineRule="exact"/>
        <w:ind w:firstLine="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     4.故意销毁试卷、答案或者考试材料者；</w:t>
      </w:r>
    </w:p>
    <w:p>
      <w:pPr>
        <w:pStyle w:val="10"/>
        <w:widowControl w:val="0"/>
        <w:snapToGrid w:val="0"/>
        <w:spacing w:line="560" w:lineRule="exact"/>
        <w:ind w:firstLine="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     5.传纸条或者其他与考试相关材料和物品者；</w:t>
      </w:r>
    </w:p>
    <w:p>
      <w:pPr>
        <w:pStyle w:val="10"/>
        <w:widowControl w:val="0"/>
        <w:snapToGrid w:val="0"/>
        <w:spacing w:line="560" w:lineRule="exact"/>
        <w:ind w:firstLine="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     6.互相交换试卷、答案、草稿纸或者互写姓名者；</w:t>
      </w:r>
    </w:p>
    <w:p>
      <w:pPr>
        <w:pStyle w:val="10"/>
        <w:widowControl w:val="0"/>
        <w:snapToGrid w:val="0"/>
        <w:spacing w:line="560" w:lineRule="exact"/>
        <w:ind w:firstLine="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     7.其他类似性质或程度行为者。</w:t>
      </w:r>
    </w:p>
    <w:p>
      <w:pPr>
        <w:spacing w:line="560" w:lineRule="exact"/>
        <w:ind w:right="26" w:firstLine="614" w:firstLineChars="192"/>
        <w:rPr>
          <w:rFonts w:ascii="仿宋_GB2312" w:hAnsi="宋体" w:eastAsia="仿宋_GB2312"/>
          <w:b/>
          <w:color w:val="auto"/>
          <w:sz w:val="32"/>
          <w:szCs w:val="32"/>
          <w:u w:val="none" w:color="auto"/>
        </w:rPr>
      </w:pPr>
      <w:r>
        <w:rPr>
          <w:rFonts w:hint="eastAsia" w:ascii="仿宋_GB2312" w:hAnsi="宋体" w:eastAsia="仿宋_GB2312"/>
          <w:color w:val="auto"/>
          <w:sz w:val="32"/>
          <w:szCs w:val="32"/>
          <w:u w:val="none" w:color="auto"/>
        </w:rPr>
        <w:t>（三）有下列行为之一者，给予留校察看或者开除学籍处分：</w:t>
      </w:r>
    </w:p>
    <w:p>
      <w:pPr>
        <w:pStyle w:val="10"/>
        <w:widowControl w:val="0"/>
        <w:snapToGrid w:val="0"/>
        <w:spacing w:line="560" w:lineRule="exact"/>
        <w:ind w:firstLine="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     1.由他人代替考试、指使他人代替考试者，给予开除学籍处分；</w:t>
      </w:r>
    </w:p>
    <w:p>
      <w:pPr>
        <w:pStyle w:val="10"/>
        <w:widowControl w:val="0"/>
        <w:snapToGrid w:val="0"/>
        <w:spacing w:line="560" w:lineRule="exact"/>
        <w:ind w:firstLine="790" w:firstLineChars="247"/>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2.在校期间考试第二次作弊者，给予开除学籍处分；</w:t>
      </w:r>
    </w:p>
    <w:p>
      <w:pPr>
        <w:pStyle w:val="10"/>
        <w:widowControl w:val="0"/>
        <w:snapToGrid w:val="0"/>
        <w:spacing w:line="560" w:lineRule="exact"/>
        <w:ind w:firstLine="800" w:firstLineChars="25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3.替他人参加考试者、使用通讯设备作弊者、组织作弊者视情节给予留校察看或开除学籍处分； </w:t>
      </w:r>
    </w:p>
    <w:p>
      <w:pPr>
        <w:pStyle w:val="10"/>
        <w:widowControl w:val="0"/>
        <w:snapToGrid w:val="0"/>
        <w:spacing w:line="560" w:lineRule="exact"/>
        <w:ind w:firstLine="640" w:firstLineChars="20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（四）以各种非法手段窃取考试内容、盗窃试卷者，给予留校察看或者开除学籍处分，贩卖、传播考试内容者，给予开除学籍处分。</w:t>
      </w:r>
    </w:p>
    <w:p>
      <w:pPr>
        <w:pStyle w:val="10"/>
        <w:widowControl w:val="0"/>
        <w:snapToGrid w:val="0"/>
        <w:spacing w:line="560" w:lineRule="exact"/>
        <w:ind w:firstLine="640" w:firstLineChars="20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（五）违反考场纪律，并在考试过程中或者事后对坚持原则的监考教师、评卷教师及教学管理人员有无礼行为者，给予留校察看或者开除学籍处分。</w:t>
      </w:r>
    </w:p>
    <w:p>
      <w:pPr>
        <w:pStyle w:val="10"/>
        <w:widowControl w:val="0"/>
        <w:snapToGrid w:val="0"/>
        <w:spacing w:line="560" w:lineRule="exact"/>
        <w:ind w:firstLine="57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（六）通过网络或者其他途径购买试题、获知考试内容或者答案参加考试者，给予留校察看处分。</w:t>
      </w:r>
    </w:p>
    <w:p>
      <w:pPr>
        <w:pStyle w:val="10"/>
        <w:widowControl w:val="0"/>
        <w:snapToGrid w:val="0"/>
        <w:spacing w:line="560" w:lineRule="exact"/>
        <w:ind w:firstLine="640" w:firstLineChars="20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（七）利用计算机、网络或者其他手段篡改试卷或者成绩者，给予留校察看处分。</w:t>
      </w:r>
    </w:p>
    <w:p>
      <w:pPr>
        <w:pStyle w:val="10"/>
        <w:widowControl w:val="0"/>
        <w:snapToGrid w:val="0"/>
        <w:spacing w:line="560" w:lineRule="exact"/>
        <w:ind w:firstLine="600"/>
        <w:rPr>
          <w:rFonts w:ascii="仿宋_GB2312" w:hAnsi="宋体" w:eastAsia="仿宋_GB2312"/>
          <w:color w:val="auto"/>
          <w:sz w:val="32"/>
          <w:szCs w:val="32"/>
          <w:u w:val="none" w:color="auto"/>
        </w:rPr>
      </w:pPr>
      <w:r>
        <w:rPr>
          <w:rFonts w:hint="eastAsia" w:ascii="仿宋_GB2312" w:hAnsi="宋体" w:eastAsia="仿宋_GB2312"/>
          <w:b/>
          <w:color w:val="auto"/>
          <w:sz w:val="32"/>
          <w:szCs w:val="32"/>
          <w:u w:val="none" w:color="auto"/>
        </w:rPr>
        <w:t>第十八条</w:t>
      </w:r>
      <w:r>
        <w:rPr>
          <w:rFonts w:hint="eastAsia" w:ascii="仿宋_GB2312" w:hAnsi="宋体" w:eastAsia="仿宋_GB2312"/>
          <w:color w:val="auto"/>
          <w:sz w:val="32"/>
          <w:szCs w:val="32"/>
          <w:u w:val="none" w:color="auto"/>
        </w:rPr>
        <w:t xml:space="preserve">  利用互联网违纪者，给予以下处分：</w:t>
      </w:r>
    </w:p>
    <w:p>
      <w:pPr>
        <w:pStyle w:val="10"/>
        <w:widowControl w:val="0"/>
        <w:snapToGrid w:val="0"/>
        <w:spacing w:line="560" w:lineRule="exact"/>
        <w:ind w:firstLine="64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（一）违反互联网管理法律法规的，移交国家相应司法机关处理。</w:t>
      </w:r>
    </w:p>
    <w:p>
      <w:pPr>
        <w:pStyle w:val="10"/>
        <w:widowControl w:val="0"/>
        <w:snapToGrid w:val="0"/>
        <w:spacing w:line="560" w:lineRule="exact"/>
        <w:ind w:firstLine="64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（二）在网上散播违反法律、妨碍社会安定和国家安全言论者，给予留校察看以上处分；发表、传播有损学校和他人正当利益的言论，以及散布各种谣言，混淆视听者，视情节和后果给予严重警告以上处分。</w:t>
      </w:r>
    </w:p>
    <w:p>
      <w:pPr>
        <w:pStyle w:val="10"/>
        <w:widowControl w:val="0"/>
        <w:snapToGrid w:val="0"/>
        <w:spacing w:line="560" w:lineRule="exact"/>
        <w:ind w:firstLine="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    （三）公开和传播属于国家秘密的各种文件资料，或者窃取、泄露学校内部有关保密资料，给予记过以上处分。</w:t>
      </w:r>
    </w:p>
    <w:p>
      <w:pPr>
        <w:pStyle w:val="10"/>
        <w:widowControl w:val="0"/>
        <w:snapToGrid w:val="0"/>
        <w:spacing w:line="560" w:lineRule="exact"/>
        <w:ind w:firstLine="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    （四）盗用他人地址、帐号的，按偷窃论处；</w:t>
      </w:r>
    </w:p>
    <w:p>
      <w:pPr>
        <w:pStyle w:val="10"/>
        <w:widowControl w:val="0"/>
        <w:snapToGrid w:val="0"/>
        <w:spacing w:line="560" w:lineRule="exact"/>
        <w:ind w:firstLine="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    （五）制作、传播计算机病毒、利用各种黑客软件或者其它攻击程序和手段，破坏公共或者个人计算机系统功能、程序及数据的，视情节和后果大小给予严重警告以上处分。</w:t>
      </w:r>
    </w:p>
    <w:p>
      <w:pPr>
        <w:pStyle w:val="10"/>
        <w:widowControl w:val="0"/>
        <w:snapToGrid w:val="0"/>
        <w:spacing w:line="560" w:lineRule="exact"/>
        <w:ind w:firstLine="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    （六）破坏网络设备、线路的，给予记过以上处分；擅自拆装网络设备的，给予严重警告以上处分。</w:t>
      </w:r>
    </w:p>
    <w:p>
      <w:pPr>
        <w:pStyle w:val="10"/>
        <w:widowControl w:val="0"/>
        <w:snapToGrid w:val="0"/>
        <w:spacing w:line="560" w:lineRule="exact"/>
        <w:ind w:firstLine="643" w:firstLineChars="200"/>
        <w:rPr>
          <w:rFonts w:ascii="仿宋_GB2312" w:hAnsi="宋体" w:eastAsia="仿宋_GB2312"/>
          <w:color w:val="auto"/>
          <w:sz w:val="32"/>
          <w:szCs w:val="32"/>
          <w:u w:val="none" w:color="auto"/>
        </w:rPr>
      </w:pPr>
      <w:r>
        <w:rPr>
          <w:rFonts w:hint="eastAsia" w:ascii="仿宋_GB2312" w:hAnsi="宋体" w:eastAsia="仿宋_GB2312"/>
          <w:b/>
          <w:color w:val="auto"/>
          <w:sz w:val="32"/>
          <w:szCs w:val="32"/>
          <w:u w:val="none" w:color="auto"/>
        </w:rPr>
        <w:t xml:space="preserve">第十九条 </w:t>
      </w:r>
      <w:r>
        <w:rPr>
          <w:rFonts w:hint="eastAsia" w:ascii="仿宋_GB2312" w:hAnsi="宋体" w:eastAsia="仿宋_GB2312"/>
          <w:color w:val="auto"/>
          <w:sz w:val="32"/>
          <w:szCs w:val="32"/>
          <w:u w:val="none" w:color="auto"/>
        </w:rPr>
        <w:t xml:space="preserve"> 按学校有关要求和规定办理入学手续的新生，参照本办法有关条款处理。其行为达到受留校察看以上处分的，取消学籍。</w:t>
      </w:r>
    </w:p>
    <w:p>
      <w:pPr>
        <w:spacing w:line="560" w:lineRule="exact"/>
        <w:ind w:firstLine="643" w:firstLineChars="200"/>
        <w:rPr>
          <w:rFonts w:ascii="仿宋_GB2312" w:eastAsia="仿宋_GB2312"/>
          <w:color w:val="auto"/>
          <w:sz w:val="32"/>
          <w:szCs w:val="32"/>
          <w:u w:val="none" w:color="auto"/>
        </w:rPr>
      </w:pPr>
      <w:r>
        <w:rPr>
          <w:rFonts w:hint="eastAsia" w:ascii="仿宋_GB2312" w:hAnsi="宋体" w:eastAsia="仿宋_GB2312"/>
          <w:b/>
          <w:color w:val="auto"/>
          <w:sz w:val="32"/>
          <w:szCs w:val="32"/>
          <w:u w:val="none" w:color="auto"/>
        </w:rPr>
        <w:t>第二十条</w:t>
      </w:r>
      <w:r>
        <w:rPr>
          <w:rFonts w:hint="eastAsia" w:ascii="仿宋_GB2312" w:hAnsi="宋体" w:eastAsia="仿宋_GB2312"/>
          <w:color w:val="auto"/>
          <w:sz w:val="32"/>
          <w:szCs w:val="32"/>
          <w:u w:val="none" w:color="auto"/>
        </w:rPr>
        <w:t xml:space="preserve"> </w:t>
      </w:r>
      <w:r>
        <w:rPr>
          <w:rFonts w:hint="eastAsia" w:ascii="仿宋_GB2312" w:eastAsia="仿宋_GB2312"/>
          <w:color w:val="auto"/>
          <w:sz w:val="32"/>
          <w:szCs w:val="32"/>
          <w:u w:val="none" w:color="auto"/>
        </w:rPr>
        <w:t xml:space="preserve">屡次违反学校规定受到纪律处分，经教育不改的，给予开除学籍的处分。 </w:t>
      </w:r>
    </w:p>
    <w:p>
      <w:pPr>
        <w:pStyle w:val="10"/>
        <w:widowControl w:val="0"/>
        <w:snapToGrid w:val="0"/>
        <w:spacing w:line="560" w:lineRule="exact"/>
        <w:ind w:firstLine="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   </w:t>
      </w:r>
      <w:r>
        <w:rPr>
          <w:rFonts w:hint="eastAsia" w:ascii="仿宋_GB2312" w:hAnsi="宋体" w:eastAsia="仿宋_GB2312"/>
          <w:b/>
          <w:color w:val="auto"/>
          <w:sz w:val="32"/>
          <w:szCs w:val="32"/>
          <w:u w:val="none" w:color="auto"/>
        </w:rPr>
        <w:t xml:space="preserve"> 第二十一条</w:t>
      </w:r>
      <w:r>
        <w:rPr>
          <w:rFonts w:hint="eastAsia" w:ascii="仿宋_GB2312" w:hAnsi="宋体" w:eastAsia="仿宋_GB2312"/>
          <w:color w:val="auto"/>
          <w:sz w:val="32"/>
          <w:szCs w:val="32"/>
          <w:u w:val="none" w:color="auto"/>
        </w:rPr>
        <w:t xml:space="preserve"> 被开除学籍的学生在处分决定生效后五个工作日内办理离校手续。开除学籍的学生由学校发给学习证明。</w:t>
      </w:r>
    </w:p>
    <w:p>
      <w:pPr>
        <w:pStyle w:val="10"/>
        <w:widowControl w:val="0"/>
        <w:snapToGrid w:val="0"/>
        <w:spacing w:line="560" w:lineRule="exact"/>
        <w:ind w:firstLine="643" w:firstLineChars="200"/>
        <w:rPr>
          <w:rFonts w:ascii="仿宋_GB2312" w:hAnsi="宋体" w:eastAsia="仿宋_GB2312"/>
          <w:color w:val="auto"/>
          <w:sz w:val="32"/>
          <w:szCs w:val="32"/>
          <w:u w:val="none" w:color="auto"/>
        </w:rPr>
      </w:pPr>
      <w:r>
        <w:rPr>
          <w:rFonts w:hint="eastAsia" w:ascii="仿宋_GB2312" w:eastAsia="仿宋_GB2312"/>
          <w:b/>
          <w:color w:val="auto"/>
          <w:sz w:val="32"/>
          <w:szCs w:val="32"/>
          <w:u w:val="none" w:color="auto"/>
        </w:rPr>
        <w:t>第二十二条</w:t>
      </w:r>
      <w:r>
        <w:rPr>
          <w:rFonts w:hint="eastAsia" w:ascii="仿宋_GB2312" w:eastAsia="仿宋_GB2312"/>
          <w:color w:val="auto"/>
          <w:sz w:val="32"/>
          <w:szCs w:val="32"/>
          <w:u w:val="none" w:color="auto"/>
        </w:rPr>
        <w:t xml:space="preserve"> </w:t>
      </w:r>
      <w:r>
        <w:rPr>
          <w:rFonts w:hint="eastAsia" w:ascii="仿宋_GB2312" w:hAnsi="宋体" w:eastAsia="仿宋_GB2312"/>
          <w:color w:val="auto"/>
          <w:sz w:val="32"/>
          <w:szCs w:val="32"/>
          <w:u w:val="none" w:color="auto"/>
        </w:rPr>
        <w:t>违反校纪有下列情形之一者，可以从轻、减轻或者从重、加重处分。</w:t>
      </w:r>
    </w:p>
    <w:p>
      <w:pPr>
        <w:pStyle w:val="10"/>
        <w:widowControl w:val="0"/>
        <w:snapToGrid w:val="0"/>
        <w:spacing w:line="560" w:lineRule="exact"/>
        <w:ind w:firstLine="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    （一）可从轻或者减轻处分者：</w:t>
      </w:r>
    </w:p>
    <w:p>
      <w:pPr>
        <w:pStyle w:val="10"/>
        <w:widowControl w:val="0"/>
        <w:snapToGrid w:val="0"/>
        <w:spacing w:line="560" w:lineRule="exact"/>
        <w:ind w:firstLine="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    1.能主动承认错误，如实交代错误事实，检查认识深刻，有悔改表现者；</w:t>
      </w:r>
    </w:p>
    <w:p>
      <w:pPr>
        <w:pStyle w:val="10"/>
        <w:widowControl w:val="0"/>
        <w:snapToGrid w:val="0"/>
        <w:spacing w:line="560" w:lineRule="exact"/>
        <w:ind w:firstLine="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    2.确系他人胁迫或诱骗，并能主动揭发，认错态度较好者；</w:t>
      </w:r>
    </w:p>
    <w:p>
      <w:pPr>
        <w:pStyle w:val="10"/>
        <w:widowControl w:val="0"/>
        <w:snapToGrid w:val="0"/>
        <w:spacing w:line="560" w:lineRule="exact"/>
        <w:ind w:firstLine="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    3.其他根据违纪事实、违纪后果等情节可以从轻或者减轻处分者。</w:t>
      </w:r>
    </w:p>
    <w:p>
      <w:pPr>
        <w:pStyle w:val="10"/>
        <w:widowControl w:val="0"/>
        <w:snapToGrid w:val="0"/>
        <w:spacing w:line="560" w:lineRule="exact"/>
        <w:ind w:firstLine="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    （二）可从重或者加重处分者：</w:t>
      </w:r>
    </w:p>
    <w:p>
      <w:pPr>
        <w:pStyle w:val="10"/>
        <w:widowControl w:val="0"/>
        <w:snapToGrid w:val="0"/>
        <w:spacing w:line="560" w:lineRule="exact"/>
        <w:ind w:firstLine="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    1.违纪后认识态度差或者拒不承认错误者；</w:t>
      </w:r>
    </w:p>
    <w:p>
      <w:pPr>
        <w:pStyle w:val="10"/>
        <w:widowControl w:val="0"/>
        <w:snapToGrid w:val="0"/>
        <w:spacing w:line="560" w:lineRule="exact"/>
        <w:ind w:firstLine="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    2.对有关人员威胁恫吓、打击报复或者各种方式阻碍学校调查处理者；</w:t>
      </w:r>
    </w:p>
    <w:p>
      <w:pPr>
        <w:pStyle w:val="10"/>
        <w:widowControl w:val="0"/>
        <w:snapToGrid w:val="0"/>
        <w:spacing w:line="560" w:lineRule="exact"/>
        <w:ind w:firstLine="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    3.共同违纪为首者；</w:t>
      </w:r>
    </w:p>
    <w:p>
      <w:pPr>
        <w:pStyle w:val="10"/>
        <w:widowControl w:val="0"/>
        <w:snapToGrid w:val="0"/>
        <w:spacing w:line="560" w:lineRule="exact"/>
        <w:ind w:firstLine="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    4.纠集校外人员违反校规校纪者；</w:t>
      </w:r>
    </w:p>
    <w:p>
      <w:pPr>
        <w:pStyle w:val="10"/>
        <w:widowControl w:val="0"/>
        <w:snapToGrid w:val="0"/>
        <w:spacing w:line="560" w:lineRule="exact"/>
        <w:ind w:firstLine="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    5.有两种（含两种）以上违纪行为，或者同时触犯本办法两条（含两条）以上规定者；</w:t>
      </w:r>
    </w:p>
    <w:p>
      <w:pPr>
        <w:pStyle w:val="10"/>
        <w:widowControl w:val="0"/>
        <w:snapToGrid w:val="0"/>
        <w:spacing w:line="560" w:lineRule="exact"/>
        <w:ind w:firstLine="600"/>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6.在校内重复违纪者，加重处分；</w:t>
      </w:r>
    </w:p>
    <w:p>
      <w:pPr>
        <w:spacing w:line="560" w:lineRule="exact"/>
        <w:ind w:firstLine="630" w:firstLineChars="197"/>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7.受到学校留校察看处分者，在留校察看期间违反校纪，直接给予开除学籍的处分。 </w:t>
      </w:r>
    </w:p>
    <w:p>
      <w:pPr>
        <w:spacing w:line="560" w:lineRule="exact"/>
        <w:ind w:firstLine="555"/>
        <w:rPr>
          <w:rFonts w:hint="eastAsia"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8.其他应予以从重或者加重处分者。</w:t>
      </w:r>
    </w:p>
    <w:p>
      <w:pPr>
        <w:spacing w:line="560" w:lineRule="exact"/>
        <w:ind w:firstLine="555"/>
        <w:rPr>
          <w:rFonts w:hint="eastAsia" w:ascii="仿宋_GB2312" w:hAnsi="宋体" w:eastAsia="仿宋_GB2312"/>
          <w:color w:val="auto"/>
          <w:sz w:val="32"/>
          <w:szCs w:val="32"/>
          <w:u w:val="none" w:color="auto"/>
        </w:rPr>
      </w:pPr>
      <w:r>
        <w:rPr>
          <w:rFonts w:hint="eastAsia" w:ascii="仿宋_GB2312" w:eastAsia="仿宋_GB2312"/>
          <w:b/>
          <w:color w:val="auto"/>
          <w:sz w:val="32"/>
          <w:szCs w:val="32"/>
          <w:u w:val="none" w:color="auto"/>
        </w:rPr>
        <w:t>第二十三条</w:t>
      </w:r>
      <w:r>
        <w:rPr>
          <w:rFonts w:hint="eastAsia" w:ascii="仿宋_GB2312" w:eastAsia="仿宋_GB2312"/>
          <w:color w:val="auto"/>
          <w:sz w:val="32"/>
          <w:szCs w:val="32"/>
          <w:u w:val="none" w:color="auto"/>
          <w:lang w:val="en-US" w:eastAsia="zh-CN"/>
        </w:rPr>
        <w:t xml:space="preserve">  学校</w:t>
      </w:r>
      <w:r>
        <w:rPr>
          <w:rFonts w:hint="eastAsia" w:ascii="仿宋_GB2312" w:hAnsi="宋体" w:eastAsia="仿宋_GB2312"/>
          <w:color w:val="auto"/>
          <w:sz w:val="32"/>
          <w:szCs w:val="32"/>
          <w:u w:val="none" w:color="auto"/>
        </w:rPr>
        <w:t>在学生教育管理过程中，针对学生在思想、学习、生活等方面出现的不良情况，</w:t>
      </w:r>
      <w:r>
        <w:rPr>
          <w:rFonts w:hint="eastAsia" w:ascii="仿宋_GB2312" w:hAnsi="宋体" w:eastAsia="仿宋_GB2312"/>
          <w:color w:val="auto"/>
          <w:sz w:val="32"/>
          <w:szCs w:val="32"/>
          <w:u w:val="none" w:color="auto"/>
          <w:lang w:val="en-US" w:eastAsia="zh-CN"/>
        </w:rPr>
        <w:t>采用</w:t>
      </w:r>
      <w:r>
        <w:rPr>
          <w:rFonts w:hint="eastAsia" w:ascii="仿宋_GB2312" w:hAnsi="宋体" w:eastAsia="仿宋_GB2312"/>
          <w:color w:val="auto"/>
          <w:sz w:val="32"/>
          <w:szCs w:val="32"/>
          <w:u w:val="none" w:color="auto"/>
        </w:rPr>
        <w:t>学生违纪预警</w:t>
      </w:r>
      <w:r>
        <w:rPr>
          <w:rFonts w:hint="eastAsia" w:ascii="仿宋_GB2312" w:hAnsi="宋体" w:eastAsia="仿宋_GB2312"/>
          <w:color w:val="auto"/>
          <w:sz w:val="32"/>
          <w:szCs w:val="32"/>
          <w:u w:val="none" w:color="auto"/>
          <w:lang w:val="en-US" w:eastAsia="zh-CN"/>
        </w:rPr>
        <w:t>机制，通过学院或学校通报批评方式</w:t>
      </w:r>
      <w:r>
        <w:rPr>
          <w:rFonts w:hint="eastAsia" w:ascii="仿宋_GB2312" w:hAnsi="宋体" w:eastAsia="仿宋_GB2312"/>
          <w:color w:val="auto"/>
          <w:sz w:val="32"/>
          <w:szCs w:val="32"/>
          <w:u w:val="none" w:color="auto"/>
        </w:rPr>
        <w:t>及时提示、告知学生本人可能产生的不良后果，并</w:t>
      </w:r>
      <w:r>
        <w:rPr>
          <w:rFonts w:hint="eastAsia" w:ascii="仿宋_GB2312" w:hAnsi="宋体" w:eastAsia="仿宋_GB2312"/>
          <w:color w:val="auto"/>
          <w:sz w:val="32"/>
          <w:szCs w:val="32"/>
          <w:u w:val="none" w:color="auto"/>
          <w:lang w:val="en-US" w:eastAsia="zh-CN"/>
        </w:rPr>
        <w:t>提醒学生</w:t>
      </w:r>
      <w:r>
        <w:rPr>
          <w:rFonts w:hint="eastAsia" w:ascii="仿宋_GB2312" w:hAnsi="宋体" w:eastAsia="仿宋_GB2312"/>
          <w:color w:val="auto"/>
          <w:sz w:val="32"/>
          <w:szCs w:val="32"/>
          <w:u w:val="none" w:color="auto"/>
        </w:rPr>
        <w:t>有针对性地采取相应的防范措施。</w:t>
      </w:r>
    </w:p>
    <w:p>
      <w:pPr>
        <w:spacing w:line="560" w:lineRule="exact"/>
        <w:ind w:right="26" w:firstLine="595" w:firstLineChars="186"/>
        <w:jc w:val="center"/>
        <w:rPr>
          <w:rFonts w:hint="eastAsia" w:ascii="黑体" w:hAnsi="黑体" w:eastAsia="黑体" w:cs="黑体"/>
          <w:b w:val="0"/>
          <w:bCs/>
          <w:color w:val="auto"/>
          <w:sz w:val="32"/>
          <w:szCs w:val="32"/>
          <w:u w:val="none" w:color="auto"/>
        </w:rPr>
      </w:pPr>
      <w:r>
        <w:rPr>
          <w:rFonts w:hint="eastAsia" w:ascii="黑体" w:hAnsi="黑体" w:eastAsia="黑体" w:cs="黑体"/>
          <w:b w:val="0"/>
          <w:bCs/>
          <w:color w:val="auto"/>
          <w:sz w:val="32"/>
          <w:szCs w:val="32"/>
          <w:u w:val="none" w:color="auto"/>
        </w:rPr>
        <w:t>第三章    处分决定程序</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w:t>
      </w:r>
      <w:r>
        <w:rPr>
          <w:rFonts w:hint="eastAsia" w:ascii="仿宋_GB2312" w:eastAsia="仿宋_GB2312"/>
          <w:b/>
          <w:color w:val="auto"/>
          <w:sz w:val="32"/>
          <w:szCs w:val="32"/>
          <w:u w:val="none" w:color="auto"/>
        </w:rPr>
        <w:t>第二十</w:t>
      </w:r>
      <w:r>
        <w:rPr>
          <w:rFonts w:hint="eastAsia" w:ascii="仿宋_GB2312" w:eastAsia="仿宋_GB2312"/>
          <w:b/>
          <w:color w:val="auto"/>
          <w:sz w:val="32"/>
          <w:szCs w:val="32"/>
          <w:u w:val="none" w:color="auto"/>
          <w:lang w:val="en-US" w:eastAsia="zh-CN"/>
        </w:rPr>
        <w:t>四</w:t>
      </w:r>
      <w:r>
        <w:rPr>
          <w:rFonts w:hint="eastAsia" w:ascii="仿宋_GB2312" w:eastAsia="仿宋_GB2312"/>
          <w:b/>
          <w:color w:val="auto"/>
          <w:sz w:val="32"/>
          <w:szCs w:val="32"/>
          <w:u w:val="none" w:color="auto"/>
        </w:rPr>
        <w:t>条</w:t>
      </w:r>
      <w:r>
        <w:rPr>
          <w:rFonts w:hint="eastAsia" w:ascii="仿宋_GB2312" w:eastAsia="仿宋_GB2312"/>
          <w:color w:val="auto"/>
          <w:sz w:val="32"/>
          <w:szCs w:val="32"/>
          <w:u w:val="none" w:color="auto"/>
        </w:rPr>
        <w:t xml:space="preserve">  学校对学生给予纪律处分时，严格按照程序进行。</w:t>
      </w:r>
    </w:p>
    <w:p>
      <w:pPr>
        <w:pStyle w:val="10"/>
        <w:widowControl w:val="0"/>
        <w:snapToGrid w:val="0"/>
        <w:spacing w:line="560" w:lineRule="exact"/>
        <w:ind w:firstLine="0"/>
        <w:rPr>
          <w:rFonts w:ascii="仿宋_GB2312" w:hAnsi="宋体" w:eastAsia="仿宋_GB2312"/>
          <w:color w:val="auto"/>
          <w:sz w:val="32"/>
          <w:szCs w:val="32"/>
          <w:u w:val="none" w:color="auto"/>
        </w:rPr>
      </w:pPr>
      <w:r>
        <w:rPr>
          <w:rFonts w:hint="eastAsia" w:ascii="仿宋_GB2312" w:eastAsia="仿宋_GB2312"/>
          <w:color w:val="auto"/>
          <w:sz w:val="32"/>
          <w:szCs w:val="32"/>
          <w:u w:val="none" w:color="auto"/>
        </w:rPr>
        <w:t xml:space="preserve">    </w:t>
      </w:r>
      <w:r>
        <w:rPr>
          <w:rFonts w:hint="eastAsia" w:ascii="仿宋_GB2312" w:hAnsi="宋体" w:eastAsia="仿宋_GB2312"/>
          <w:b/>
          <w:color w:val="auto"/>
          <w:sz w:val="32"/>
          <w:szCs w:val="32"/>
          <w:u w:val="none" w:color="auto"/>
        </w:rPr>
        <w:t>第二十</w:t>
      </w:r>
      <w:r>
        <w:rPr>
          <w:rFonts w:hint="eastAsia" w:ascii="仿宋_GB2312" w:hAnsi="宋体" w:eastAsia="仿宋_GB2312"/>
          <w:b/>
          <w:color w:val="auto"/>
          <w:sz w:val="32"/>
          <w:szCs w:val="32"/>
          <w:u w:val="none" w:color="auto"/>
          <w:lang w:val="en-US" w:eastAsia="zh-CN"/>
        </w:rPr>
        <w:t>五</w:t>
      </w:r>
      <w:r>
        <w:rPr>
          <w:rFonts w:hint="eastAsia" w:ascii="仿宋_GB2312" w:hAnsi="宋体" w:eastAsia="仿宋_GB2312"/>
          <w:b/>
          <w:color w:val="auto"/>
          <w:sz w:val="32"/>
          <w:szCs w:val="32"/>
          <w:u w:val="none" w:color="auto"/>
        </w:rPr>
        <w:t>条</w:t>
      </w:r>
      <w:r>
        <w:rPr>
          <w:rFonts w:hint="eastAsia" w:ascii="仿宋_GB2312" w:hAnsi="宋体" w:eastAsia="仿宋_GB2312"/>
          <w:color w:val="auto"/>
          <w:sz w:val="32"/>
          <w:szCs w:val="32"/>
          <w:u w:val="none" w:color="auto"/>
        </w:rPr>
        <w:t xml:space="preserve">  学生违纪处分的审批权限</w:t>
      </w:r>
    </w:p>
    <w:p>
      <w:pPr>
        <w:pStyle w:val="10"/>
        <w:widowControl w:val="0"/>
        <w:snapToGrid w:val="0"/>
        <w:spacing w:line="560" w:lineRule="exact"/>
        <w:ind w:firstLine="570"/>
        <w:rPr>
          <w:rFonts w:ascii="仿宋_GB2312" w:eastAsia="仿宋_GB2312"/>
          <w:color w:val="auto"/>
          <w:sz w:val="32"/>
          <w:szCs w:val="32"/>
          <w:u w:val="none" w:color="auto"/>
        </w:rPr>
      </w:pPr>
      <w:r>
        <w:rPr>
          <w:rFonts w:hint="eastAsia" w:ascii="仿宋_GB2312" w:hAnsi="宋体" w:eastAsia="仿宋_GB2312"/>
          <w:color w:val="auto"/>
          <w:sz w:val="32"/>
          <w:szCs w:val="32"/>
          <w:u w:val="none" w:color="auto"/>
        </w:rPr>
        <w:t>（一） 对于学生违纪事件，需对学生</w:t>
      </w:r>
      <w:r>
        <w:rPr>
          <w:rFonts w:hint="eastAsia" w:ascii="仿宋_GB2312" w:eastAsia="仿宋_GB2312"/>
          <w:color w:val="auto"/>
          <w:sz w:val="32"/>
          <w:szCs w:val="32"/>
          <w:u w:val="none" w:color="auto"/>
        </w:rPr>
        <w:t>给予警告、严重警告、记过、留校察看等处分时，由学生所在</w:t>
      </w:r>
      <w:r>
        <w:rPr>
          <w:rFonts w:hint="eastAsia" w:ascii="仿宋_GB2312" w:hAnsi="宋体" w:eastAsia="仿宋_GB2312"/>
          <w:color w:val="auto"/>
          <w:sz w:val="32"/>
          <w:szCs w:val="32"/>
          <w:u w:val="none" w:color="auto"/>
        </w:rPr>
        <w:t>学院查证，搜集材料，提供证据，</w:t>
      </w:r>
      <w:r>
        <w:rPr>
          <w:rFonts w:hint="eastAsia" w:ascii="仿宋_GB2312" w:eastAsia="仿宋_GB2312"/>
          <w:color w:val="auto"/>
          <w:sz w:val="32"/>
          <w:szCs w:val="32"/>
          <w:u w:val="none" w:color="auto"/>
        </w:rPr>
        <w:t>经学院办公会议讨论并做出处分建议，报学生处。学生处经处务会议研究做出决定后，报学校主管领导同意后，学校作出处分决定。</w:t>
      </w:r>
    </w:p>
    <w:p>
      <w:pPr>
        <w:spacing w:line="560" w:lineRule="exact"/>
        <w:ind w:firstLine="640" w:firstLineChars="200"/>
        <w:rPr>
          <w:rFonts w:ascii="仿宋_GB2312" w:eastAsia="仿宋_GB2312"/>
          <w:color w:val="auto"/>
          <w:sz w:val="32"/>
          <w:szCs w:val="32"/>
          <w:u w:val="none" w:color="auto"/>
        </w:rPr>
      </w:pPr>
      <w:r>
        <w:rPr>
          <w:rFonts w:hint="eastAsia" w:ascii="仿宋_GB2312" w:eastAsia="仿宋_GB2312"/>
          <w:color w:val="auto"/>
          <w:sz w:val="32"/>
          <w:szCs w:val="32"/>
          <w:u w:val="none" w:color="auto"/>
        </w:rPr>
        <w:t>（二）</w:t>
      </w:r>
      <w:r>
        <w:rPr>
          <w:rFonts w:hint="eastAsia" w:ascii="仿宋_GB2312" w:hAnsi="宋体" w:eastAsia="仿宋_GB2312"/>
          <w:color w:val="auto"/>
          <w:sz w:val="32"/>
          <w:szCs w:val="32"/>
          <w:u w:val="none" w:color="auto"/>
        </w:rPr>
        <w:t>对于学生违纪事件，需对</w:t>
      </w:r>
      <w:r>
        <w:rPr>
          <w:rFonts w:hint="eastAsia" w:ascii="仿宋_GB2312" w:eastAsia="仿宋_GB2312"/>
          <w:color w:val="auto"/>
          <w:sz w:val="32"/>
          <w:szCs w:val="32"/>
          <w:u w:val="none" w:color="auto"/>
        </w:rPr>
        <w:t>学生给予记过及以上处分时，由学生所在学院查证，搜集材料，提供证据，经学院办公会议讨论并做出处分建议，报学生处。学生处经处务会议研究做出初步处理意见，报学校主管领导同意，经学校校长办公会议研究决定后，学校作出处分决定。</w:t>
      </w:r>
    </w:p>
    <w:p>
      <w:pPr>
        <w:spacing w:line="560" w:lineRule="exact"/>
        <w:ind w:right="26" w:firstLine="617" w:firstLineChars="192"/>
        <w:rPr>
          <w:rFonts w:ascii="仿宋_GB2312" w:hAnsi="宋体" w:eastAsia="仿宋_GB2312"/>
          <w:b/>
          <w:color w:val="auto"/>
          <w:sz w:val="32"/>
          <w:szCs w:val="32"/>
          <w:u w:val="none" w:color="auto"/>
        </w:rPr>
      </w:pPr>
      <w:r>
        <w:rPr>
          <w:rFonts w:hint="eastAsia" w:ascii="仿宋_GB2312" w:hAnsi="宋体" w:eastAsia="仿宋_GB2312"/>
          <w:b/>
          <w:color w:val="auto"/>
          <w:sz w:val="32"/>
          <w:szCs w:val="32"/>
          <w:u w:val="none" w:color="auto"/>
        </w:rPr>
        <w:t>第二十</w:t>
      </w:r>
      <w:r>
        <w:rPr>
          <w:rFonts w:hint="eastAsia" w:ascii="仿宋_GB2312" w:hAnsi="宋体" w:eastAsia="仿宋_GB2312"/>
          <w:b/>
          <w:color w:val="auto"/>
          <w:sz w:val="32"/>
          <w:szCs w:val="32"/>
          <w:u w:val="none" w:color="auto"/>
          <w:lang w:val="en-US" w:eastAsia="zh-CN"/>
        </w:rPr>
        <w:t>六</w:t>
      </w:r>
      <w:r>
        <w:rPr>
          <w:rFonts w:hint="eastAsia" w:ascii="仿宋_GB2312" w:hAnsi="宋体" w:eastAsia="仿宋_GB2312"/>
          <w:b/>
          <w:color w:val="auto"/>
          <w:sz w:val="32"/>
          <w:szCs w:val="32"/>
          <w:u w:val="none" w:color="auto"/>
        </w:rPr>
        <w:t>条</w:t>
      </w:r>
      <w:r>
        <w:rPr>
          <w:rFonts w:hint="eastAsia" w:ascii="仿宋_GB2312" w:hAnsi="宋体" w:eastAsia="仿宋_GB2312"/>
          <w:color w:val="auto"/>
          <w:sz w:val="32"/>
          <w:szCs w:val="32"/>
          <w:u w:val="none" w:color="auto"/>
        </w:rPr>
        <w:t xml:space="preserve">  处分决定的报批程序</w:t>
      </w:r>
    </w:p>
    <w:p>
      <w:pPr>
        <w:spacing w:line="560" w:lineRule="exact"/>
        <w:ind w:right="26" w:firstLine="595" w:firstLineChars="186"/>
        <w:jc w:val="left"/>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（一）调查。学生违纪行为发生后，违纪学生所在学院应当和有关部门及时进行调查，收集证据，整理相关材料；</w:t>
      </w:r>
    </w:p>
    <w:p>
      <w:pPr>
        <w:spacing w:line="560" w:lineRule="exact"/>
        <w:ind w:right="26" w:firstLine="595" w:firstLineChars="186"/>
        <w:jc w:val="left"/>
        <w:rPr>
          <w:rFonts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二）学院研究。由违纪学生所在学院办公会议进行研究，提出处理意见，填写《新乡学院学生违纪处理意见申报表》并附相关证据(学生检查、证明材料、拟处分告知书等)，在发现学生违纪行为七个工作日以内报送学生处；因特殊原因不能按时报送者，应当及时以书面形式向学生处说明。</w:t>
      </w:r>
    </w:p>
    <w:p>
      <w:pPr>
        <w:spacing w:line="560" w:lineRule="exact"/>
        <w:ind w:firstLine="640" w:firstLineChars="200"/>
        <w:rPr>
          <w:rFonts w:ascii="仿宋_GB2312" w:eastAsia="仿宋_GB2312"/>
          <w:color w:val="auto"/>
          <w:sz w:val="32"/>
          <w:szCs w:val="32"/>
          <w:u w:val="none" w:color="auto"/>
        </w:rPr>
      </w:pPr>
      <w:r>
        <w:rPr>
          <w:rFonts w:hint="eastAsia" w:ascii="仿宋_GB2312" w:hAnsi="宋体" w:eastAsia="仿宋_GB2312"/>
          <w:color w:val="auto"/>
          <w:sz w:val="32"/>
          <w:szCs w:val="32"/>
          <w:u w:val="none" w:color="auto"/>
        </w:rPr>
        <w:t>（三）学校审批。学生处对学院上报的学生违纪材料进行审核，听取学生或者其代理人的陈述和申辩，作出处理意见，报主管院领导批准。其中，对学生开除学籍处分的由校长办公会议研究决定。</w:t>
      </w:r>
      <w:r>
        <w:rPr>
          <w:rFonts w:hint="eastAsia" w:ascii="仿宋_GB2312" w:eastAsia="仿宋_GB2312"/>
          <w:color w:val="auto"/>
          <w:sz w:val="32"/>
          <w:szCs w:val="32"/>
          <w:u w:val="none" w:color="auto"/>
        </w:rPr>
        <w:t xml:space="preserve"> </w:t>
      </w:r>
    </w:p>
    <w:p>
      <w:pPr>
        <w:spacing w:line="560" w:lineRule="exact"/>
        <w:ind w:firstLine="643" w:firstLineChars="200"/>
        <w:rPr>
          <w:rFonts w:ascii="仿宋_GB2312" w:eastAsia="仿宋_GB2312"/>
          <w:color w:val="auto"/>
          <w:sz w:val="32"/>
          <w:szCs w:val="32"/>
          <w:u w:val="none" w:color="auto"/>
        </w:rPr>
      </w:pPr>
      <w:r>
        <w:rPr>
          <w:rFonts w:hint="eastAsia" w:ascii="仿宋_GB2312" w:eastAsia="仿宋_GB2312"/>
          <w:b/>
          <w:color w:val="auto"/>
          <w:sz w:val="32"/>
          <w:szCs w:val="32"/>
          <w:u w:val="none" w:color="auto"/>
        </w:rPr>
        <w:t>第二十</w:t>
      </w:r>
      <w:r>
        <w:rPr>
          <w:rFonts w:hint="eastAsia" w:ascii="仿宋_GB2312" w:eastAsia="仿宋_GB2312"/>
          <w:b/>
          <w:color w:val="auto"/>
          <w:sz w:val="32"/>
          <w:szCs w:val="32"/>
          <w:u w:val="none" w:color="auto"/>
          <w:lang w:val="en-US" w:eastAsia="zh-CN"/>
        </w:rPr>
        <w:t>七</w:t>
      </w:r>
      <w:r>
        <w:rPr>
          <w:rFonts w:hint="eastAsia" w:ascii="仿宋_GB2312" w:eastAsia="仿宋_GB2312"/>
          <w:b/>
          <w:color w:val="auto"/>
          <w:sz w:val="32"/>
          <w:szCs w:val="32"/>
          <w:u w:val="none" w:color="auto"/>
        </w:rPr>
        <w:t>条</w:t>
      </w:r>
      <w:r>
        <w:rPr>
          <w:rFonts w:hint="eastAsia" w:ascii="仿宋_GB2312" w:eastAsia="仿宋_GB2312"/>
          <w:color w:val="auto"/>
          <w:sz w:val="32"/>
          <w:szCs w:val="32"/>
          <w:u w:val="none" w:color="auto"/>
          <w:lang w:val="en-US" w:eastAsia="zh-CN"/>
        </w:rPr>
        <w:t xml:space="preserve">  </w:t>
      </w:r>
      <w:r>
        <w:rPr>
          <w:rFonts w:hint="eastAsia" w:ascii="仿宋_GB2312" w:eastAsia="仿宋_GB2312"/>
          <w:color w:val="auto"/>
          <w:sz w:val="32"/>
          <w:szCs w:val="32"/>
          <w:u w:val="none" w:color="auto"/>
        </w:rPr>
        <w:t xml:space="preserve">学校在对学生做出处分决定之前，应当听取学生或其代理人的陈述和申辩。 </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w:t>
      </w:r>
      <w:r>
        <w:rPr>
          <w:rFonts w:hint="eastAsia" w:ascii="仿宋_GB2312" w:eastAsia="仿宋_GB2312"/>
          <w:b/>
          <w:color w:val="auto"/>
          <w:sz w:val="32"/>
          <w:szCs w:val="32"/>
          <w:u w:val="none" w:color="auto"/>
        </w:rPr>
        <w:t>第二十</w:t>
      </w:r>
      <w:r>
        <w:rPr>
          <w:rFonts w:hint="eastAsia" w:ascii="仿宋_GB2312" w:eastAsia="仿宋_GB2312"/>
          <w:b/>
          <w:color w:val="auto"/>
          <w:sz w:val="32"/>
          <w:szCs w:val="32"/>
          <w:u w:val="none" w:color="auto"/>
          <w:lang w:val="en-US" w:eastAsia="zh-CN"/>
        </w:rPr>
        <w:t>八</w:t>
      </w:r>
      <w:r>
        <w:rPr>
          <w:rFonts w:hint="eastAsia" w:ascii="仿宋_GB2312" w:eastAsia="仿宋_GB2312"/>
          <w:b/>
          <w:color w:val="auto"/>
          <w:sz w:val="32"/>
          <w:szCs w:val="32"/>
          <w:u w:val="none" w:color="auto"/>
        </w:rPr>
        <w:t>条</w:t>
      </w:r>
      <w:r>
        <w:rPr>
          <w:rFonts w:hint="eastAsia" w:ascii="仿宋_GB2312" w:eastAsia="仿宋_GB2312"/>
          <w:color w:val="auto"/>
          <w:sz w:val="32"/>
          <w:szCs w:val="32"/>
          <w:u w:val="none" w:color="auto"/>
          <w:lang w:val="en-US" w:eastAsia="zh-CN"/>
        </w:rPr>
        <w:t xml:space="preserve">  </w:t>
      </w:r>
      <w:r>
        <w:rPr>
          <w:rFonts w:hint="eastAsia" w:ascii="仿宋_GB2312" w:eastAsia="仿宋_GB2312"/>
          <w:color w:val="auto"/>
          <w:sz w:val="32"/>
          <w:szCs w:val="32"/>
          <w:u w:val="none" w:color="auto"/>
        </w:rPr>
        <w:t>学校对学生作出处分后，出具处分决定书。处分决定书包括下列内容：</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（一）学生的基本信息；</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（二）作出处分的事实和证据；</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（三）处分的种类、依据、期限；</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（四）申诉的途径和期限；</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（五）其他必要内容。</w:t>
      </w:r>
    </w:p>
    <w:p>
      <w:pPr>
        <w:spacing w:line="560" w:lineRule="exact"/>
        <w:rPr>
          <w:rFonts w:ascii="仿宋_GB2312" w:eastAsia="仿宋_GB2312"/>
          <w:color w:val="auto"/>
          <w:sz w:val="32"/>
          <w:szCs w:val="32"/>
          <w:u w:val="none" w:color="auto"/>
        </w:rPr>
      </w:pPr>
      <w:r>
        <w:rPr>
          <w:rFonts w:hint="eastAsia" w:ascii="仿宋_GB2312" w:eastAsia="仿宋_GB2312"/>
          <w:color w:val="auto"/>
          <w:sz w:val="32"/>
          <w:szCs w:val="32"/>
          <w:u w:val="none" w:color="auto"/>
        </w:rPr>
        <w:t xml:space="preserve">   </w:t>
      </w:r>
      <w:r>
        <w:rPr>
          <w:rFonts w:hint="eastAsia" w:ascii="仿宋_GB2312" w:eastAsia="仿宋_GB2312"/>
          <w:b/>
          <w:color w:val="auto"/>
          <w:sz w:val="32"/>
          <w:szCs w:val="32"/>
          <w:u w:val="none" w:color="auto"/>
        </w:rPr>
        <w:t xml:space="preserve"> 第二十</w:t>
      </w:r>
      <w:r>
        <w:rPr>
          <w:rFonts w:hint="eastAsia" w:ascii="仿宋_GB2312" w:eastAsia="仿宋_GB2312"/>
          <w:b/>
          <w:color w:val="auto"/>
          <w:sz w:val="32"/>
          <w:szCs w:val="32"/>
          <w:u w:val="none" w:color="auto"/>
          <w:lang w:val="en-US" w:eastAsia="zh-CN"/>
        </w:rPr>
        <w:t>九</w:t>
      </w:r>
      <w:r>
        <w:rPr>
          <w:rFonts w:hint="eastAsia" w:ascii="仿宋_GB2312" w:eastAsia="仿宋_GB2312"/>
          <w:b/>
          <w:color w:val="auto"/>
          <w:sz w:val="32"/>
          <w:szCs w:val="32"/>
          <w:u w:val="none" w:color="auto"/>
        </w:rPr>
        <w:t>条</w:t>
      </w:r>
      <w:r>
        <w:rPr>
          <w:rFonts w:hint="eastAsia" w:ascii="仿宋_GB2312" w:eastAsia="仿宋_GB2312"/>
          <w:color w:val="auto"/>
          <w:sz w:val="32"/>
          <w:szCs w:val="32"/>
          <w:u w:val="none" w:color="auto"/>
          <w:lang w:val="en-US" w:eastAsia="zh-CN"/>
        </w:rPr>
        <w:t xml:space="preserve">  </w:t>
      </w:r>
      <w:r>
        <w:rPr>
          <w:rFonts w:hint="eastAsia" w:ascii="仿宋_GB2312" w:eastAsia="仿宋_GB2312"/>
          <w:color w:val="auto"/>
          <w:sz w:val="32"/>
          <w:szCs w:val="32"/>
          <w:u w:val="none" w:color="auto"/>
        </w:rPr>
        <w:t xml:space="preserve">各种处分决定均由学校统一编号、发文、公布，并将处分决定书送达学生本人一份。直接送达处分决定书有困难时，可采取留置送达、邮寄送达、公告送达等方式送达。开除学籍的处分决定书同时报河南省教育厅备案。 </w:t>
      </w:r>
    </w:p>
    <w:p>
      <w:pPr>
        <w:spacing w:line="560" w:lineRule="exact"/>
        <w:ind w:firstLine="555"/>
        <w:rPr>
          <w:rFonts w:ascii="仿宋_GB2312" w:eastAsia="仿宋_GB2312"/>
          <w:color w:val="auto"/>
          <w:sz w:val="32"/>
          <w:szCs w:val="32"/>
          <w:u w:val="none" w:color="auto"/>
        </w:rPr>
      </w:pPr>
      <w:r>
        <w:rPr>
          <w:rFonts w:hint="eastAsia" w:ascii="仿宋_GB2312" w:eastAsia="仿宋_GB2312"/>
          <w:b/>
          <w:color w:val="auto"/>
          <w:sz w:val="32"/>
          <w:szCs w:val="32"/>
          <w:u w:val="none" w:color="auto"/>
        </w:rPr>
        <w:t>第</w:t>
      </w:r>
      <w:r>
        <w:rPr>
          <w:rFonts w:hint="eastAsia" w:ascii="仿宋_GB2312" w:eastAsia="仿宋_GB2312"/>
          <w:b/>
          <w:color w:val="auto"/>
          <w:sz w:val="32"/>
          <w:szCs w:val="32"/>
          <w:u w:val="none" w:color="auto"/>
          <w:lang w:val="en-US" w:eastAsia="zh-CN"/>
        </w:rPr>
        <w:t>三十</w:t>
      </w:r>
      <w:r>
        <w:rPr>
          <w:rFonts w:hint="eastAsia" w:ascii="仿宋_GB2312" w:eastAsia="仿宋_GB2312"/>
          <w:b/>
          <w:color w:val="auto"/>
          <w:sz w:val="32"/>
          <w:szCs w:val="32"/>
          <w:u w:val="none" w:color="auto"/>
        </w:rPr>
        <w:t>条</w:t>
      </w:r>
      <w:r>
        <w:rPr>
          <w:rFonts w:hint="eastAsia" w:ascii="仿宋_GB2312" w:eastAsia="仿宋_GB2312"/>
          <w:color w:val="auto"/>
          <w:sz w:val="32"/>
          <w:szCs w:val="32"/>
          <w:u w:val="none" w:color="auto"/>
          <w:lang w:val="en-US" w:eastAsia="zh-CN"/>
        </w:rPr>
        <w:t xml:space="preserve">  </w:t>
      </w:r>
      <w:r>
        <w:rPr>
          <w:rFonts w:hint="eastAsia" w:ascii="仿宋_GB2312" w:eastAsia="仿宋_GB2312"/>
          <w:color w:val="auto"/>
          <w:sz w:val="32"/>
          <w:szCs w:val="32"/>
          <w:u w:val="none" w:color="auto"/>
        </w:rPr>
        <w:t>除开除学籍处分以外，给予学生的处分一般为6到12个月期限，到期后由学生本人主动提出书面申请，填写《</w:t>
      </w:r>
      <w:r>
        <w:rPr>
          <w:rFonts w:hint="eastAsia" w:ascii="仿宋_GB2312" w:hAnsi="宋体" w:eastAsia="仿宋_GB2312"/>
          <w:color w:val="auto"/>
          <w:sz w:val="32"/>
          <w:szCs w:val="32"/>
          <w:u w:val="none" w:color="auto"/>
        </w:rPr>
        <w:t>新乡学院学生处分解除申请表</w:t>
      </w:r>
      <w:r>
        <w:rPr>
          <w:rFonts w:hint="eastAsia" w:ascii="仿宋_GB2312" w:eastAsia="仿宋_GB2312"/>
          <w:color w:val="auto"/>
          <w:sz w:val="32"/>
          <w:szCs w:val="32"/>
          <w:u w:val="none" w:color="auto"/>
        </w:rPr>
        <w:t>》，经</w:t>
      </w:r>
      <w:r>
        <w:rPr>
          <w:rFonts w:hint="eastAsia" w:ascii="仿宋_GB2312" w:eastAsia="仿宋_GB2312"/>
          <w:color w:val="auto"/>
          <w:sz w:val="32"/>
          <w:szCs w:val="32"/>
          <w:u w:val="none" w:color="auto"/>
          <w:lang w:val="en-US" w:eastAsia="zh-CN"/>
        </w:rPr>
        <w:t>学生所在学院和</w:t>
      </w:r>
      <w:r>
        <w:rPr>
          <w:rFonts w:hint="eastAsia" w:ascii="仿宋_GB2312" w:eastAsia="仿宋_GB2312"/>
          <w:color w:val="auto"/>
          <w:sz w:val="32"/>
          <w:szCs w:val="32"/>
          <w:u w:val="none" w:color="auto"/>
        </w:rPr>
        <w:t>学校</w:t>
      </w:r>
      <w:r>
        <w:rPr>
          <w:rFonts w:hint="eastAsia" w:ascii="仿宋_GB2312" w:eastAsia="仿宋_GB2312"/>
          <w:color w:val="auto"/>
          <w:sz w:val="32"/>
          <w:szCs w:val="32"/>
          <w:u w:val="none" w:color="auto"/>
          <w:lang w:val="en-US" w:eastAsia="zh-CN"/>
        </w:rPr>
        <w:t>按照程序</w:t>
      </w:r>
      <w:r>
        <w:rPr>
          <w:rFonts w:hint="eastAsia" w:ascii="仿宋_GB2312" w:eastAsia="仿宋_GB2312"/>
          <w:color w:val="auto"/>
          <w:sz w:val="32"/>
          <w:szCs w:val="32"/>
          <w:u w:val="none" w:color="auto"/>
        </w:rPr>
        <w:t>审核通过后予以解除。</w:t>
      </w:r>
    </w:p>
    <w:p>
      <w:pPr>
        <w:spacing w:line="560" w:lineRule="exact"/>
        <w:ind w:firstLine="555"/>
        <w:rPr>
          <w:rFonts w:ascii="仿宋_GB2312" w:eastAsia="仿宋_GB2312"/>
          <w:color w:val="auto"/>
          <w:sz w:val="32"/>
          <w:szCs w:val="32"/>
          <w:u w:val="none" w:color="auto"/>
        </w:rPr>
      </w:pPr>
      <w:r>
        <w:rPr>
          <w:rFonts w:hint="eastAsia" w:ascii="仿宋_GB2312" w:eastAsia="仿宋_GB2312"/>
          <w:color w:val="auto"/>
          <w:sz w:val="32"/>
          <w:szCs w:val="32"/>
          <w:u w:val="none" w:color="auto"/>
        </w:rPr>
        <w:t>学生的处分不以时间到期自动解除。</w:t>
      </w:r>
    </w:p>
    <w:p>
      <w:pPr>
        <w:spacing w:line="560" w:lineRule="exact"/>
        <w:ind w:firstLine="555"/>
        <w:rPr>
          <w:rFonts w:ascii="仿宋_GB2312" w:eastAsia="仿宋_GB2312"/>
          <w:color w:val="auto"/>
          <w:sz w:val="32"/>
          <w:szCs w:val="32"/>
          <w:u w:val="none" w:color="auto"/>
        </w:rPr>
      </w:pPr>
      <w:r>
        <w:rPr>
          <w:rFonts w:hint="eastAsia" w:ascii="仿宋_GB2312" w:eastAsia="仿宋_GB2312"/>
          <w:b/>
          <w:color w:val="auto"/>
          <w:sz w:val="32"/>
          <w:szCs w:val="32"/>
          <w:u w:val="none" w:color="auto"/>
        </w:rPr>
        <w:t>第三十</w:t>
      </w:r>
      <w:r>
        <w:rPr>
          <w:rFonts w:hint="eastAsia" w:ascii="仿宋_GB2312" w:eastAsia="仿宋_GB2312"/>
          <w:b/>
          <w:color w:val="auto"/>
          <w:sz w:val="32"/>
          <w:szCs w:val="32"/>
          <w:u w:val="none" w:color="auto"/>
          <w:lang w:val="en-US" w:eastAsia="zh-CN"/>
        </w:rPr>
        <w:t>一</w:t>
      </w:r>
      <w:r>
        <w:rPr>
          <w:rFonts w:hint="eastAsia" w:ascii="仿宋_GB2312" w:eastAsia="仿宋_GB2312"/>
          <w:b/>
          <w:color w:val="auto"/>
          <w:sz w:val="32"/>
          <w:szCs w:val="32"/>
          <w:u w:val="none" w:color="auto"/>
        </w:rPr>
        <w:t>条</w:t>
      </w:r>
      <w:r>
        <w:rPr>
          <w:rFonts w:hint="eastAsia" w:ascii="仿宋_GB2312" w:eastAsia="仿宋_GB2312"/>
          <w:color w:val="auto"/>
          <w:sz w:val="32"/>
          <w:szCs w:val="32"/>
          <w:u w:val="none" w:color="auto"/>
          <w:lang w:val="en-US" w:eastAsia="zh-CN"/>
        </w:rPr>
        <w:t xml:space="preserve">  </w:t>
      </w:r>
      <w:r>
        <w:rPr>
          <w:rFonts w:hint="eastAsia" w:ascii="仿宋_GB2312" w:eastAsia="仿宋_GB2312"/>
          <w:color w:val="auto"/>
          <w:sz w:val="32"/>
          <w:szCs w:val="32"/>
          <w:u w:val="none" w:color="auto"/>
        </w:rPr>
        <w:t>学生对处分决定有异议的，可向学校学生申诉处理委员会提出书面申诉，学生申诉处理委员会设在监察处。学生的申诉和复查按照《新乡学院学生管理规定》和《新乡学院校内学生申诉管理规定》的有关规定执行。</w:t>
      </w:r>
    </w:p>
    <w:p>
      <w:pPr>
        <w:spacing w:line="560" w:lineRule="exact"/>
        <w:ind w:firstLine="555"/>
        <w:rPr>
          <w:rFonts w:ascii="仿宋_GB2312" w:eastAsia="仿宋_GB2312"/>
          <w:color w:val="auto"/>
          <w:sz w:val="32"/>
          <w:szCs w:val="32"/>
          <w:u w:val="none" w:color="auto"/>
        </w:rPr>
      </w:pPr>
      <w:r>
        <w:rPr>
          <w:rFonts w:hint="eastAsia" w:ascii="仿宋_GB2312" w:eastAsia="仿宋_GB2312"/>
          <w:b/>
          <w:color w:val="auto"/>
          <w:sz w:val="32"/>
          <w:szCs w:val="32"/>
          <w:u w:val="none" w:color="auto"/>
        </w:rPr>
        <w:t>第三十</w:t>
      </w:r>
      <w:r>
        <w:rPr>
          <w:rFonts w:hint="eastAsia" w:ascii="仿宋_GB2312" w:eastAsia="仿宋_GB2312"/>
          <w:b/>
          <w:color w:val="auto"/>
          <w:sz w:val="32"/>
          <w:szCs w:val="32"/>
          <w:u w:val="none" w:color="auto"/>
          <w:lang w:val="en-US" w:eastAsia="zh-CN"/>
        </w:rPr>
        <w:t>二</w:t>
      </w:r>
      <w:r>
        <w:rPr>
          <w:rFonts w:hint="eastAsia" w:ascii="仿宋_GB2312" w:eastAsia="仿宋_GB2312"/>
          <w:b/>
          <w:color w:val="auto"/>
          <w:sz w:val="32"/>
          <w:szCs w:val="32"/>
          <w:u w:val="none" w:color="auto"/>
        </w:rPr>
        <w:t>条</w:t>
      </w:r>
      <w:r>
        <w:rPr>
          <w:rFonts w:hint="eastAsia" w:ascii="仿宋_GB2312" w:eastAsia="仿宋_GB2312"/>
          <w:color w:val="auto"/>
          <w:sz w:val="32"/>
          <w:szCs w:val="32"/>
          <w:u w:val="none" w:color="auto"/>
          <w:lang w:val="en-US" w:eastAsia="zh-CN"/>
        </w:rPr>
        <w:t xml:space="preserve">  </w:t>
      </w:r>
      <w:r>
        <w:rPr>
          <w:rFonts w:hint="eastAsia" w:ascii="仿宋_GB2312" w:eastAsia="仿宋_GB2312"/>
          <w:color w:val="auto"/>
          <w:sz w:val="32"/>
          <w:szCs w:val="32"/>
          <w:u w:val="none" w:color="auto"/>
        </w:rPr>
        <w:t>学生处分决定书、学生申诉复查结论及解除处分材料均存入学校文书档案和学生本人档案。</w:t>
      </w:r>
    </w:p>
    <w:p>
      <w:pPr>
        <w:spacing w:line="560" w:lineRule="exact"/>
        <w:jc w:val="center"/>
        <w:rPr>
          <w:rFonts w:ascii="仿宋_GB2312" w:eastAsia="仿宋_GB2312"/>
          <w:b/>
          <w:color w:val="auto"/>
          <w:sz w:val="32"/>
          <w:szCs w:val="32"/>
          <w:u w:val="none" w:color="auto"/>
        </w:rPr>
      </w:pPr>
      <w:r>
        <w:rPr>
          <w:rFonts w:hint="eastAsia" w:ascii="仿宋_GB2312" w:eastAsia="仿宋_GB2312"/>
          <w:b/>
          <w:color w:val="auto"/>
          <w:sz w:val="32"/>
          <w:szCs w:val="32"/>
          <w:u w:val="none" w:color="auto"/>
        </w:rPr>
        <w:t>第四章  附    则</w:t>
      </w:r>
    </w:p>
    <w:p>
      <w:pPr>
        <w:spacing w:line="560" w:lineRule="exact"/>
        <w:ind w:firstLine="643" w:firstLineChars="200"/>
        <w:rPr>
          <w:rFonts w:ascii="仿宋_GB2312" w:eastAsia="仿宋_GB2312"/>
          <w:color w:val="auto"/>
          <w:sz w:val="32"/>
          <w:szCs w:val="32"/>
          <w:u w:val="none" w:color="auto"/>
        </w:rPr>
      </w:pPr>
      <w:r>
        <w:rPr>
          <w:rFonts w:hint="eastAsia" w:ascii="仿宋_GB2312" w:eastAsia="仿宋_GB2312"/>
          <w:b/>
          <w:color w:val="auto"/>
          <w:sz w:val="32"/>
          <w:szCs w:val="32"/>
          <w:u w:val="none" w:color="auto"/>
        </w:rPr>
        <w:t>第三十</w:t>
      </w:r>
      <w:r>
        <w:rPr>
          <w:rFonts w:hint="eastAsia" w:ascii="仿宋_GB2312" w:eastAsia="仿宋_GB2312"/>
          <w:b/>
          <w:color w:val="auto"/>
          <w:sz w:val="32"/>
          <w:szCs w:val="32"/>
          <w:u w:val="none" w:color="auto"/>
          <w:lang w:val="en-US" w:eastAsia="zh-CN"/>
        </w:rPr>
        <w:t>三</w:t>
      </w:r>
      <w:r>
        <w:rPr>
          <w:rFonts w:hint="eastAsia" w:ascii="仿宋_GB2312" w:eastAsia="仿宋_GB2312"/>
          <w:b/>
          <w:color w:val="auto"/>
          <w:sz w:val="32"/>
          <w:szCs w:val="32"/>
          <w:u w:val="none" w:color="auto"/>
        </w:rPr>
        <w:t>条</w:t>
      </w:r>
      <w:r>
        <w:rPr>
          <w:rFonts w:hint="eastAsia" w:ascii="仿宋_GB2312" w:eastAsia="仿宋_GB2312"/>
          <w:b/>
          <w:color w:val="auto"/>
          <w:sz w:val="32"/>
          <w:szCs w:val="32"/>
          <w:u w:val="none" w:color="auto"/>
          <w:lang w:val="en-US" w:eastAsia="zh-CN"/>
        </w:rPr>
        <w:t xml:space="preserve">  </w:t>
      </w:r>
      <w:r>
        <w:rPr>
          <w:rFonts w:hint="eastAsia" w:ascii="仿宋_GB2312" w:eastAsia="仿宋_GB2312"/>
          <w:color w:val="auto"/>
          <w:sz w:val="32"/>
          <w:szCs w:val="32"/>
          <w:u w:val="none" w:color="auto"/>
        </w:rPr>
        <w:t>学校对接受高等学历继续教育的学生、港澳台侨学生、留学生的管理，参照本规定执行。</w:t>
      </w:r>
    </w:p>
    <w:p>
      <w:pPr>
        <w:spacing w:line="560" w:lineRule="exact"/>
        <w:rPr>
          <w:rFonts w:ascii="仿宋_GB2312" w:eastAsia="仿宋_GB2312"/>
          <w:color w:val="auto"/>
          <w:sz w:val="32"/>
          <w:szCs w:val="32"/>
          <w:u w:val="none" w:color="auto"/>
        </w:rPr>
      </w:pPr>
      <w:r>
        <w:rPr>
          <w:rFonts w:hint="eastAsia" w:ascii="仿宋_GB2312" w:eastAsia="仿宋_GB2312"/>
          <w:b/>
          <w:color w:val="auto"/>
          <w:sz w:val="32"/>
          <w:szCs w:val="32"/>
          <w:u w:val="none" w:color="auto"/>
        </w:rPr>
        <w:t xml:space="preserve">    第三十</w:t>
      </w:r>
      <w:r>
        <w:rPr>
          <w:rFonts w:hint="eastAsia" w:ascii="仿宋_GB2312" w:eastAsia="仿宋_GB2312"/>
          <w:b/>
          <w:color w:val="auto"/>
          <w:sz w:val="32"/>
          <w:szCs w:val="32"/>
          <w:u w:val="none" w:color="auto"/>
          <w:lang w:val="en-US" w:eastAsia="zh-CN"/>
        </w:rPr>
        <w:t>四</w:t>
      </w:r>
      <w:r>
        <w:rPr>
          <w:rFonts w:hint="eastAsia" w:ascii="仿宋_GB2312" w:eastAsia="仿宋_GB2312"/>
          <w:b/>
          <w:color w:val="auto"/>
          <w:sz w:val="32"/>
          <w:szCs w:val="32"/>
          <w:u w:val="none" w:color="auto"/>
        </w:rPr>
        <w:t>条</w:t>
      </w:r>
      <w:r>
        <w:rPr>
          <w:rFonts w:hint="eastAsia" w:ascii="仿宋_GB2312" w:eastAsia="仿宋_GB2312"/>
          <w:color w:val="auto"/>
          <w:sz w:val="32"/>
          <w:szCs w:val="32"/>
          <w:u w:val="none" w:color="auto"/>
          <w:lang w:val="en-US" w:eastAsia="zh-CN"/>
        </w:rPr>
        <w:t xml:space="preserve">  </w:t>
      </w:r>
      <w:r>
        <w:rPr>
          <w:rFonts w:hint="eastAsia" w:ascii="仿宋_GB2312" w:eastAsia="仿宋_GB2312"/>
          <w:color w:val="auto"/>
          <w:sz w:val="32"/>
          <w:szCs w:val="32"/>
          <w:u w:val="none" w:color="auto"/>
        </w:rPr>
        <w:t>其他有关规定与本管理规定不一致的，以本管理规定为准。</w:t>
      </w:r>
    </w:p>
    <w:p>
      <w:pPr>
        <w:spacing w:line="560" w:lineRule="exact"/>
        <w:ind w:firstLine="555"/>
        <w:rPr>
          <w:rFonts w:ascii="仿宋_GB2312" w:eastAsia="仿宋_GB2312"/>
          <w:color w:val="auto"/>
          <w:sz w:val="32"/>
          <w:szCs w:val="32"/>
          <w:u w:val="none" w:color="auto"/>
        </w:rPr>
      </w:pPr>
      <w:r>
        <w:rPr>
          <w:rFonts w:hint="eastAsia" w:ascii="仿宋_GB2312" w:eastAsia="仿宋_GB2312"/>
          <w:b/>
          <w:color w:val="auto"/>
          <w:sz w:val="32"/>
          <w:szCs w:val="32"/>
          <w:u w:val="none" w:color="auto"/>
        </w:rPr>
        <w:t>第三十</w:t>
      </w:r>
      <w:r>
        <w:rPr>
          <w:rFonts w:hint="eastAsia" w:ascii="仿宋_GB2312" w:eastAsia="仿宋_GB2312"/>
          <w:b/>
          <w:color w:val="auto"/>
          <w:sz w:val="32"/>
          <w:szCs w:val="32"/>
          <w:u w:val="none" w:color="auto"/>
          <w:lang w:val="en-US" w:eastAsia="zh-CN"/>
        </w:rPr>
        <w:t>五</w:t>
      </w:r>
      <w:r>
        <w:rPr>
          <w:rFonts w:hint="eastAsia" w:ascii="仿宋_GB2312" w:eastAsia="仿宋_GB2312"/>
          <w:b/>
          <w:color w:val="auto"/>
          <w:sz w:val="32"/>
          <w:szCs w:val="32"/>
          <w:u w:val="none" w:color="auto"/>
        </w:rPr>
        <w:t>条</w:t>
      </w:r>
      <w:r>
        <w:rPr>
          <w:rFonts w:hint="eastAsia" w:ascii="仿宋_GB2312" w:eastAsia="仿宋_GB2312"/>
          <w:color w:val="auto"/>
          <w:sz w:val="32"/>
          <w:szCs w:val="32"/>
          <w:u w:val="none" w:color="auto"/>
          <w:lang w:val="en-US" w:eastAsia="zh-CN"/>
        </w:rPr>
        <w:t xml:space="preserve">  </w:t>
      </w:r>
      <w:r>
        <w:rPr>
          <w:rFonts w:hint="eastAsia" w:ascii="仿宋_GB2312" w:eastAsia="仿宋_GB2312"/>
          <w:color w:val="auto"/>
          <w:sz w:val="32"/>
          <w:szCs w:val="32"/>
          <w:u w:val="none" w:color="auto"/>
        </w:rPr>
        <w:t>本规定自发布之日起实施。</w:t>
      </w:r>
    </w:p>
    <w:p>
      <w:pPr>
        <w:spacing w:line="560" w:lineRule="exact"/>
        <w:ind w:firstLine="555"/>
        <w:rPr>
          <w:rFonts w:ascii="仿宋_GB2312" w:eastAsia="仿宋_GB2312"/>
          <w:color w:val="auto"/>
          <w:sz w:val="32"/>
          <w:szCs w:val="32"/>
          <w:u w:val="none" w:color="auto"/>
        </w:rPr>
      </w:pPr>
      <w:r>
        <w:rPr>
          <w:rFonts w:hint="eastAsia" w:ascii="仿宋_GB2312" w:eastAsia="仿宋_GB2312"/>
          <w:b/>
          <w:color w:val="auto"/>
          <w:sz w:val="32"/>
          <w:szCs w:val="32"/>
          <w:u w:val="none" w:color="auto"/>
        </w:rPr>
        <w:t>第三十</w:t>
      </w:r>
      <w:r>
        <w:rPr>
          <w:rFonts w:hint="eastAsia" w:ascii="仿宋_GB2312" w:eastAsia="仿宋_GB2312"/>
          <w:b/>
          <w:color w:val="auto"/>
          <w:sz w:val="32"/>
          <w:szCs w:val="32"/>
          <w:u w:val="none" w:color="auto"/>
          <w:lang w:val="en-US" w:eastAsia="zh-CN"/>
        </w:rPr>
        <w:t>六</w:t>
      </w:r>
      <w:r>
        <w:rPr>
          <w:rFonts w:hint="eastAsia" w:ascii="仿宋_GB2312" w:eastAsia="仿宋_GB2312"/>
          <w:b/>
          <w:color w:val="auto"/>
          <w:sz w:val="32"/>
          <w:szCs w:val="32"/>
          <w:u w:val="none" w:color="auto"/>
        </w:rPr>
        <w:t>条</w:t>
      </w:r>
      <w:r>
        <w:rPr>
          <w:rFonts w:hint="eastAsia" w:ascii="仿宋_GB2312" w:eastAsia="仿宋_GB2312"/>
          <w:color w:val="auto"/>
          <w:sz w:val="32"/>
          <w:szCs w:val="32"/>
          <w:u w:val="none" w:color="auto"/>
          <w:lang w:val="en-US" w:eastAsia="zh-CN"/>
        </w:rPr>
        <w:t xml:space="preserve">  </w:t>
      </w:r>
      <w:r>
        <w:rPr>
          <w:rFonts w:hint="eastAsia" w:ascii="仿宋_GB2312" w:eastAsia="仿宋_GB2312"/>
          <w:color w:val="auto"/>
          <w:sz w:val="32"/>
          <w:szCs w:val="32"/>
          <w:u w:val="none" w:color="auto"/>
        </w:rPr>
        <w:t>本规定由学生处负责解释。</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6"/>
          <w:rFonts w:hint="eastAsia" w:ascii="仿宋_GB2312" w:eastAsia="仿宋_GB2312"/>
          <w:b w:val="0"/>
          <w:bCs w:val="0"/>
          <w:color w:val="auto"/>
          <w:sz w:val="32"/>
          <w:szCs w:val="32"/>
          <w:u w:val="none" w:color="auto"/>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6"/>
          <w:rFonts w:hint="eastAsia" w:ascii="仿宋_GB2312" w:eastAsia="仿宋_GB2312"/>
          <w:b w:val="0"/>
          <w:bCs w:val="0"/>
          <w:color w:val="auto"/>
          <w:sz w:val="32"/>
          <w:szCs w:val="32"/>
          <w:u w:val="none" w:color="auto"/>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6"/>
          <w:rFonts w:hint="eastAsia" w:ascii="仿宋_GB2312" w:eastAsia="仿宋_GB2312"/>
          <w:b w:val="0"/>
          <w:bCs w:val="0"/>
          <w:color w:val="auto"/>
          <w:sz w:val="32"/>
          <w:szCs w:val="32"/>
          <w:u w:val="none" w:color="auto"/>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6"/>
          <w:rFonts w:hint="eastAsia" w:ascii="仿宋_GB2312" w:eastAsia="仿宋_GB2312"/>
          <w:b w:val="0"/>
          <w:bCs w:val="0"/>
          <w:color w:val="auto"/>
          <w:sz w:val="32"/>
          <w:szCs w:val="32"/>
          <w:u w:val="none" w:color="auto"/>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6"/>
          <w:rFonts w:hint="eastAsia" w:ascii="仿宋_GB2312" w:eastAsia="仿宋_GB2312"/>
          <w:b w:val="0"/>
          <w:bCs w:val="0"/>
          <w:color w:val="auto"/>
          <w:sz w:val="32"/>
          <w:szCs w:val="32"/>
          <w:u w:val="none" w:color="auto"/>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6"/>
          <w:rFonts w:hint="eastAsia" w:ascii="仿宋_GB2312" w:eastAsia="仿宋_GB2312"/>
          <w:b w:val="0"/>
          <w:bCs w:val="0"/>
          <w:color w:val="auto"/>
          <w:sz w:val="32"/>
          <w:szCs w:val="32"/>
          <w:u w:val="none" w:color="auto"/>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6"/>
          <w:rFonts w:hint="eastAsia" w:ascii="仿宋_GB2312" w:eastAsia="仿宋_GB2312"/>
          <w:b w:val="0"/>
          <w:bCs w:val="0"/>
          <w:color w:val="auto"/>
          <w:sz w:val="32"/>
          <w:szCs w:val="32"/>
          <w:u w:val="none" w:color="auto"/>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6"/>
          <w:rFonts w:hint="eastAsia" w:ascii="仿宋_GB2312" w:eastAsia="仿宋_GB2312"/>
          <w:b w:val="0"/>
          <w:bCs w:val="0"/>
          <w:color w:val="auto"/>
          <w:sz w:val="32"/>
          <w:szCs w:val="32"/>
          <w:u w:val="none" w:color="auto"/>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6"/>
          <w:rFonts w:hint="eastAsia" w:ascii="仿宋_GB2312" w:eastAsia="仿宋_GB2312"/>
          <w:b w:val="0"/>
          <w:bCs w:val="0"/>
          <w:color w:val="auto"/>
          <w:sz w:val="32"/>
          <w:szCs w:val="32"/>
          <w:u w:val="none" w:color="auto"/>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6"/>
          <w:rFonts w:hint="eastAsia" w:ascii="仿宋_GB2312" w:eastAsia="仿宋_GB2312"/>
          <w:b w:val="0"/>
          <w:bCs w:val="0"/>
          <w:color w:val="auto"/>
          <w:sz w:val="32"/>
          <w:szCs w:val="32"/>
          <w:u w:val="none" w:color="auto"/>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6"/>
          <w:rFonts w:hint="eastAsia" w:ascii="仿宋_GB2312" w:eastAsia="仿宋_GB2312"/>
          <w:b w:val="0"/>
          <w:bCs w:val="0"/>
          <w:color w:val="auto"/>
          <w:sz w:val="32"/>
          <w:szCs w:val="32"/>
          <w:u w:val="none" w:color="auto"/>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6"/>
          <w:rFonts w:hint="eastAsia" w:ascii="仿宋_GB2312" w:eastAsia="仿宋_GB2312"/>
          <w:b w:val="0"/>
          <w:bCs w:val="0"/>
          <w:color w:val="auto"/>
          <w:sz w:val="32"/>
          <w:szCs w:val="32"/>
          <w:u w:val="none" w:color="auto"/>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6"/>
          <w:rFonts w:hint="eastAsia" w:ascii="仿宋_GB2312" w:eastAsia="仿宋_GB2312"/>
          <w:b w:val="0"/>
          <w:bCs w:val="0"/>
          <w:color w:val="auto"/>
          <w:sz w:val="32"/>
          <w:szCs w:val="32"/>
          <w:u w:val="none" w:color="auto"/>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6"/>
          <w:rFonts w:hint="eastAsia" w:ascii="仿宋_GB2312" w:eastAsia="仿宋_GB2312"/>
          <w:b w:val="0"/>
          <w:bCs w:val="0"/>
          <w:color w:val="auto"/>
          <w:sz w:val="32"/>
          <w:szCs w:val="32"/>
          <w:u w:val="none" w:color="auto"/>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6"/>
          <w:rFonts w:hint="eastAsia" w:ascii="仿宋_GB2312" w:eastAsia="仿宋_GB2312"/>
          <w:b w:val="0"/>
          <w:bCs w:val="0"/>
          <w:color w:val="auto"/>
          <w:sz w:val="32"/>
          <w:szCs w:val="32"/>
          <w:u w:val="none" w:color="auto"/>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6"/>
          <w:rFonts w:hint="eastAsia" w:ascii="仿宋_GB2312" w:eastAsia="仿宋_GB2312"/>
          <w:b w:val="0"/>
          <w:bCs w:val="0"/>
          <w:color w:val="auto"/>
          <w:sz w:val="32"/>
          <w:szCs w:val="32"/>
          <w:u w:val="none" w:color="auto"/>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6"/>
          <w:rFonts w:hint="eastAsia" w:ascii="仿宋_GB2312" w:eastAsia="仿宋_GB2312"/>
          <w:b w:val="0"/>
          <w:bCs w:val="0"/>
          <w:color w:val="auto"/>
          <w:sz w:val="32"/>
          <w:szCs w:val="32"/>
          <w:u w:val="none" w:color="auto"/>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6"/>
          <w:rFonts w:hint="eastAsia" w:ascii="仿宋_GB2312" w:eastAsia="仿宋_GB2312"/>
          <w:b w:val="0"/>
          <w:bCs w:val="0"/>
          <w:color w:val="auto"/>
          <w:sz w:val="32"/>
          <w:szCs w:val="32"/>
          <w:u w:val="none" w:color="auto"/>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6"/>
          <w:rFonts w:hint="eastAsia" w:ascii="仿宋_GB2312" w:eastAsia="仿宋_GB2312"/>
          <w:b w:val="0"/>
          <w:bCs w:val="0"/>
          <w:color w:val="auto"/>
          <w:sz w:val="32"/>
          <w:szCs w:val="32"/>
          <w:u w:val="none" w:color="auto"/>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6"/>
          <w:rFonts w:hint="eastAsia" w:ascii="仿宋_GB2312" w:eastAsia="仿宋_GB2312"/>
          <w:b w:val="0"/>
          <w:bCs w:val="0"/>
          <w:color w:val="auto"/>
          <w:sz w:val="32"/>
          <w:szCs w:val="32"/>
          <w:u w:val="none" w:color="auto"/>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6"/>
          <w:rFonts w:hint="eastAsia" w:ascii="仿宋_GB2312" w:eastAsia="仿宋_GB2312"/>
          <w:b w:val="0"/>
          <w:bCs w:val="0"/>
          <w:color w:val="auto"/>
          <w:sz w:val="32"/>
          <w:szCs w:val="32"/>
          <w:u w:val="none" w:color="auto"/>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6"/>
          <w:rFonts w:hint="eastAsia" w:ascii="仿宋_GB2312" w:eastAsia="仿宋_GB2312"/>
          <w:b w:val="0"/>
          <w:bCs w:val="0"/>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6"/>
          <w:rFonts w:hint="eastAsia" w:ascii="仿宋_GB2312" w:eastAsia="仿宋_GB2312"/>
          <w:b w:val="0"/>
          <w:bCs w:val="0"/>
          <w:color w:val="000000" w:themeColor="text1"/>
          <w:sz w:val="32"/>
          <w:szCs w:val="32"/>
          <w14:textFill>
            <w14:solidFill>
              <w14:schemeClr w14:val="tx1"/>
            </w14:solidFill>
          </w14:textFill>
        </w:rPr>
      </w:pPr>
    </w:p>
    <w:tbl>
      <w:tblPr>
        <w:tblStyle w:val="7"/>
        <w:tblpPr w:leftFromText="180" w:rightFromText="180" w:vertAnchor="text" w:horzAnchor="page" w:tblpX="1402" w:tblpY="922"/>
        <w:tblOverlap w:val="never"/>
        <w:tblW w:w="87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8758" w:type="dxa"/>
            <w:tcBorders>
              <w:left w:val="nil"/>
              <w:right w:val="nil"/>
            </w:tcBorders>
            <w:vAlign w:val="center"/>
          </w:tcPr>
          <w:p>
            <w:pPr>
              <w:ind w:left="2239" w:leftChars="152" w:hanging="1920" w:hangingChars="600"/>
              <w:jc w:val="center"/>
              <w:rPr>
                <w:rFonts w:hint="eastAsia" w:ascii="仿宋_GB2312" w:hAnsi="宋体" w:eastAsia="仿宋_GB2312"/>
                <w:color w:val="000000"/>
                <w:sz w:val="32"/>
                <w:szCs w:val="32"/>
              </w:rPr>
            </w:pPr>
            <w:r>
              <w:rPr>
                <w:rFonts w:hint="eastAsia" w:ascii="仿宋_GB2312" w:hAnsi="宋体" w:eastAsia="仿宋_GB2312"/>
                <w:color w:val="000000"/>
                <w:sz w:val="32"/>
                <w:szCs w:val="32"/>
              </w:rPr>
              <w:t>新乡学院</w:t>
            </w:r>
            <w:r>
              <w:rPr>
                <w:rFonts w:hint="eastAsia" w:ascii="仿宋_GB2312" w:hAnsi="宋体" w:eastAsia="仿宋_GB2312"/>
                <w:color w:val="000000"/>
                <w:sz w:val="32"/>
                <w:szCs w:val="32"/>
                <w:lang w:val="en-US" w:eastAsia="zh-CN"/>
              </w:rPr>
              <w:t>院长</w:t>
            </w:r>
            <w:r>
              <w:rPr>
                <w:rFonts w:hint="eastAsia" w:ascii="仿宋_GB2312" w:hAnsi="宋体" w:eastAsia="仿宋_GB2312"/>
                <w:color w:val="000000"/>
                <w:sz w:val="32"/>
                <w:szCs w:val="32"/>
              </w:rPr>
              <w:t>办公室             201</w:t>
            </w:r>
            <w:r>
              <w:rPr>
                <w:rFonts w:hint="eastAsia" w:ascii="仿宋_GB2312" w:hAnsi="宋体" w:eastAsia="仿宋_GB2312"/>
                <w:color w:val="000000"/>
                <w:sz w:val="32"/>
                <w:szCs w:val="32"/>
                <w:lang w:val="en-US" w:eastAsia="zh-CN"/>
              </w:rPr>
              <w:t>7</w:t>
            </w:r>
            <w:r>
              <w:rPr>
                <w:rFonts w:hint="eastAsia" w:ascii="仿宋_GB2312" w:hAnsi="宋体" w:eastAsia="仿宋_GB2312"/>
                <w:color w:val="000000"/>
                <w:sz w:val="32"/>
                <w:szCs w:val="32"/>
              </w:rPr>
              <w:t>年</w:t>
            </w:r>
            <w:r>
              <w:rPr>
                <w:rFonts w:hint="eastAsia" w:ascii="仿宋_GB2312" w:hAnsi="宋体" w:eastAsia="仿宋_GB2312"/>
                <w:color w:val="000000"/>
                <w:sz w:val="32"/>
                <w:szCs w:val="32"/>
                <w:lang w:val="en-US" w:eastAsia="zh-CN"/>
              </w:rPr>
              <w:t>8</w:t>
            </w:r>
            <w:r>
              <w:rPr>
                <w:rFonts w:hint="eastAsia" w:ascii="仿宋_GB2312" w:hAnsi="宋体" w:eastAsia="仿宋_GB2312"/>
                <w:color w:val="000000"/>
                <w:sz w:val="32"/>
                <w:szCs w:val="32"/>
              </w:rPr>
              <w:t>月</w:t>
            </w:r>
            <w:r>
              <w:rPr>
                <w:rFonts w:hint="eastAsia" w:ascii="仿宋_GB2312" w:hAnsi="宋体" w:eastAsia="仿宋_GB2312"/>
                <w:color w:val="000000"/>
                <w:sz w:val="32"/>
                <w:szCs w:val="32"/>
                <w:lang w:val="en-US" w:eastAsia="zh-CN"/>
              </w:rPr>
              <w:t>8</w:t>
            </w:r>
            <w:r>
              <w:rPr>
                <w:rFonts w:hint="eastAsia" w:ascii="仿宋_GB2312" w:hAnsi="宋体" w:eastAsia="仿宋_GB2312"/>
                <w:color w:val="000000"/>
                <w:sz w:val="32"/>
                <w:szCs w:val="32"/>
              </w:rPr>
              <w:t>日印发</w:t>
            </w:r>
          </w:p>
        </w:tc>
      </w:tr>
    </w:tbl>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6"/>
          <w:rFonts w:hint="eastAsia" w:ascii="仿宋_GB2312" w:eastAsia="仿宋_GB2312"/>
          <w:b w:val="0"/>
          <w:bCs w:val="0"/>
          <w:color w:val="000000" w:themeColor="text1"/>
          <w:sz w:val="32"/>
          <w:szCs w:val="32"/>
          <w14:textFill>
            <w14:solidFill>
              <w14:schemeClr w14:val="tx1"/>
            </w14:solidFill>
          </w14:textFill>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叶根友毛笔行书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微软雅黑 Light">
    <w:panose1 w:val="020B0502040204020203"/>
    <w:charset w:val="86"/>
    <w:family w:val="auto"/>
    <w:pitch w:val="default"/>
    <w:sig w:usb0="80000287" w:usb1="28CF0010" w:usb2="00000016" w:usb3="00000000" w:csb0="0004001F" w:csb1="00000000"/>
  </w:font>
  <w:font w:name="新宋体">
    <w:panose1 w:val="02010609030101010101"/>
    <w:charset w:val="86"/>
    <w:family w:val="auto"/>
    <w:pitch w:val="default"/>
    <w:sig w:usb0="00000003" w:usb1="288F0000" w:usb2="00000006" w:usb3="00000000" w:csb0="00040001" w:csb1="00000000"/>
  </w:font>
  <w:font w:name="水果冰淇淋">
    <w:panose1 w:val="040F0700000000000000"/>
    <w:charset w:val="86"/>
    <w:family w:val="auto"/>
    <w:pitch w:val="default"/>
    <w:sig w:usb0="FFFFFFFF" w:usb1="F8FFFFFF" w:usb2="0000003F" w:usb3="00000000" w:csb0="6017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4653424"/>
    </w:sdtPr>
    <w:sdtEndPr>
      <w:rPr>
        <w:sz w:val="32"/>
        <w:szCs w:val="32"/>
      </w:rPr>
    </w:sdtEndPr>
    <w:sdtContent>
      <w:p>
        <w:pPr>
          <w:pStyle w:val="2"/>
          <w:jc w:val="right"/>
          <w:rPr>
            <w:sz w:val="32"/>
            <w:szCs w:val="32"/>
          </w:rPr>
        </w:pPr>
        <w:r>
          <w:rPr>
            <w:sz w:val="32"/>
            <w:szCs w:val="32"/>
          </w:rPr>
          <w:fldChar w:fldCharType="begin"/>
        </w:r>
        <w:r>
          <w:rPr>
            <w:sz w:val="32"/>
            <w:szCs w:val="32"/>
          </w:rPr>
          <w:instrText xml:space="preserve"> PAGE  \* ArabicDash  \* MERGEFORMAT </w:instrText>
        </w:r>
        <w:r>
          <w:rPr>
            <w:sz w:val="32"/>
            <w:szCs w:val="32"/>
          </w:rPr>
          <w:fldChar w:fldCharType="separate"/>
        </w:r>
        <w:r>
          <w:rPr>
            <w:sz w:val="32"/>
            <w:szCs w:val="32"/>
          </w:rPr>
          <w:t>- 19 -</w:t>
        </w:r>
        <w:r>
          <w:rPr>
            <w:sz w:val="32"/>
            <w:szCs w:val="32"/>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32"/>
        <w:szCs w:val="32"/>
      </w:rPr>
      <w:id w:val="-1952006612"/>
    </w:sdtPr>
    <w:sdtEndPr>
      <w:rPr>
        <w:sz w:val="32"/>
        <w:szCs w:val="32"/>
      </w:rPr>
    </w:sdtEndPr>
    <w:sdtContent>
      <w:p>
        <w:pPr>
          <w:pStyle w:val="2"/>
          <w:rPr>
            <w:sz w:val="32"/>
            <w:szCs w:val="32"/>
          </w:rPr>
        </w:pPr>
        <w:r>
          <w:rPr>
            <w:sz w:val="32"/>
            <w:szCs w:val="32"/>
          </w:rPr>
          <w:fldChar w:fldCharType="begin"/>
        </w:r>
        <w:r>
          <w:rPr>
            <w:sz w:val="32"/>
            <w:szCs w:val="32"/>
          </w:rPr>
          <w:instrText xml:space="preserve"> PAGE  \* ArabicDash  \* MERGEFORMAT </w:instrText>
        </w:r>
        <w:r>
          <w:rPr>
            <w:sz w:val="32"/>
            <w:szCs w:val="32"/>
          </w:rPr>
          <w:fldChar w:fldCharType="separate"/>
        </w:r>
        <w:r>
          <w:rPr>
            <w:sz w:val="32"/>
            <w:szCs w:val="32"/>
          </w:rPr>
          <w:t>- 18 -</w:t>
        </w:r>
        <w:r>
          <w:rPr>
            <w:sz w:val="32"/>
            <w:szCs w:val="32"/>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C3DEB"/>
    <w:multiLevelType w:val="singleLevel"/>
    <w:tmpl w:val="590C3DEB"/>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2F6A02"/>
    <w:rsid w:val="001F0A48"/>
    <w:rsid w:val="00AB4F09"/>
    <w:rsid w:val="00C80540"/>
    <w:rsid w:val="00CE79DE"/>
    <w:rsid w:val="00EE3F5B"/>
    <w:rsid w:val="00F23A73"/>
    <w:rsid w:val="011616BF"/>
    <w:rsid w:val="02B804D2"/>
    <w:rsid w:val="076C0048"/>
    <w:rsid w:val="09151A19"/>
    <w:rsid w:val="12B37506"/>
    <w:rsid w:val="15BE5F24"/>
    <w:rsid w:val="169D397A"/>
    <w:rsid w:val="1B1E4CD6"/>
    <w:rsid w:val="1E253CCB"/>
    <w:rsid w:val="235C77EB"/>
    <w:rsid w:val="242F6A02"/>
    <w:rsid w:val="267B6CD1"/>
    <w:rsid w:val="2AEA381B"/>
    <w:rsid w:val="2D854216"/>
    <w:rsid w:val="31924058"/>
    <w:rsid w:val="431A1AF3"/>
    <w:rsid w:val="47E32E70"/>
    <w:rsid w:val="4C801748"/>
    <w:rsid w:val="518559ED"/>
    <w:rsid w:val="51C63FCC"/>
    <w:rsid w:val="54864535"/>
    <w:rsid w:val="5F4D6E1D"/>
    <w:rsid w:val="61B83EE2"/>
    <w:rsid w:val="6B62430C"/>
    <w:rsid w:val="6D87687F"/>
    <w:rsid w:val="6E91273E"/>
    <w:rsid w:val="6F7F3073"/>
    <w:rsid w:val="711527B9"/>
    <w:rsid w:val="72C664B7"/>
    <w:rsid w:val="73445CC7"/>
    <w:rsid w:val="755143B2"/>
    <w:rsid w:val="773033A7"/>
    <w:rsid w:val="7D524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kern w:val="0"/>
      <w:sz w:val="24"/>
    </w:rPr>
  </w:style>
  <w:style w:type="character" w:styleId="6">
    <w:name w:val="Strong"/>
    <w:basedOn w:val="5"/>
    <w:qFormat/>
    <w:uiPriority w:val="0"/>
    <w:rPr>
      <w:b/>
      <w:bCs/>
    </w:rPr>
  </w:style>
  <w:style w:type="character" w:customStyle="1" w:styleId="8">
    <w:name w:val="页眉 Char"/>
    <w:basedOn w:val="5"/>
    <w:link w:val="3"/>
    <w:qFormat/>
    <w:uiPriority w:val="0"/>
    <w:rPr>
      <w:rFonts w:ascii="Calibri" w:hAnsi="Calibri" w:eastAsia="宋体" w:cs="Times New Roman"/>
      <w:kern w:val="2"/>
      <w:sz w:val="18"/>
      <w:szCs w:val="18"/>
    </w:rPr>
  </w:style>
  <w:style w:type="character" w:customStyle="1" w:styleId="9">
    <w:name w:val="页脚 Char"/>
    <w:basedOn w:val="5"/>
    <w:link w:val="2"/>
    <w:qFormat/>
    <w:uiPriority w:val="99"/>
    <w:rPr>
      <w:rFonts w:ascii="Calibri" w:hAnsi="Calibri" w:eastAsia="宋体" w:cs="Times New Roman"/>
      <w:kern w:val="2"/>
      <w:sz w:val="18"/>
      <w:szCs w:val="18"/>
    </w:rPr>
  </w:style>
  <w:style w:type="paragraph" w:customStyle="1" w:styleId="10">
    <w:name w:val="普通文字"/>
    <w:basedOn w:val="1"/>
    <w:qFormat/>
    <w:uiPriority w:val="0"/>
    <w:pPr>
      <w:widowControl/>
      <w:spacing w:line="351" w:lineRule="atLeast"/>
      <w:ind w:firstLine="419"/>
      <w:textAlignment w:val="baseline"/>
    </w:pPr>
    <w:rPr>
      <w:rFonts w:ascii="宋体"/>
      <w:color w:val="000000"/>
      <w:kern w:val="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1341</Words>
  <Characters>7650</Characters>
  <Lines>63</Lines>
  <Paragraphs>17</Paragraphs>
  <ScaleCrop>false</ScaleCrop>
  <LinksUpToDate>false</LinksUpToDate>
  <CharactersWithSpaces>8974</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2017-08-03T09:17:00Z</dcterms:created>
  <dc:creator>Administrator</dc:creator>
  <cp:lastModifiedBy>Administrator</cp:lastModifiedBy>
  <dcterms:modified xsi:type="dcterms:W3CDTF">2017-08-09T09:35:22Z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